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E87A" w14:textId="06910195" w:rsidR="00CD46D8" w:rsidRPr="0068496E" w:rsidRDefault="0068496E" w:rsidP="00394364">
      <w:pPr>
        <w:rPr>
          <w:b/>
          <w:bCs/>
        </w:rPr>
      </w:pPr>
      <w:r>
        <w:rPr>
          <w:b/>
        </w:rPr>
        <w:t xml:space="preserve">Methodology for selecting </w:t>
      </w:r>
      <w:r w:rsidR="00C50BDE">
        <w:rPr>
          <w:b/>
        </w:rPr>
        <w:t>partner</w:t>
      </w:r>
      <w:r w:rsidR="00116220">
        <w:rPr>
          <w:b/>
        </w:rPr>
        <w:t xml:space="preserve"> progress</w:t>
      </w:r>
      <w:r w:rsidR="00C50BDE">
        <w:rPr>
          <w:b/>
        </w:rPr>
        <w:t xml:space="preserve"> reports</w:t>
      </w:r>
      <w:r>
        <w:rPr>
          <w:b/>
        </w:rPr>
        <w:t xml:space="preserve"> for verification</w:t>
      </w:r>
    </w:p>
    <w:p w14:paraId="21A146D3" w14:textId="17532993" w:rsidR="00F36AB8" w:rsidRDefault="00277D75" w:rsidP="00F36AB8">
      <w:pPr>
        <w:pStyle w:val="Akapitzlist"/>
        <w:numPr>
          <w:ilvl w:val="0"/>
          <w:numId w:val="16"/>
        </w:numPr>
        <w:spacing w:after="120" w:line="276" w:lineRule="auto"/>
        <w:contextualSpacing w:val="0"/>
        <w:jc w:val="both"/>
        <w:rPr>
          <w:rFonts w:cstheme="minorHAnsi"/>
        </w:rPr>
      </w:pPr>
      <w:r w:rsidRPr="003830B6">
        <w:rPr>
          <w:rFonts w:cstheme="minorHAnsi"/>
        </w:rPr>
        <w:t xml:space="preserve">The FLC applies this Methodology </w:t>
      </w:r>
      <w:r w:rsidR="00FB3AD0" w:rsidRPr="00FB3AD0">
        <w:rPr>
          <w:rFonts w:cstheme="minorHAnsi"/>
        </w:rPr>
        <w:t>without</w:t>
      </w:r>
      <w:r w:rsidRPr="002E6EC2">
        <w:rPr>
          <w:rFonts w:cstheme="minorHAnsi"/>
        </w:rPr>
        <w:t xml:space="preserve"> no changes thereto, unless </w:t>
      </w:r>
      <w:r w:rsidR="00A70195" w:rsidRPr="002E6EC2">
        <w:rPr>
          <w:rFonts w:cstheme="minorHAnsi"/>
        </w:rPr>
        <w:t xml:space="preserve">the changes were </w:t>
      </w:r>
      <w:r w:rsidR="00FB3AD0" w:rsidRPr="00FB3AD0">
        <w:rPr>
          <w:rFonts w:cstheme="minorHAnsi"/>
        </w:rPr>
        <w:t>prepared</w:t>
      </w:r>
      <w:r w:rsidR="00A70195" w:rsidRPr="003830B6">
        <w:rPr>
          <w:rFonts w:cstheme="minorHAnsi"/>
        </w:rPr>
        <w:t xml:space="preserve"> ex-ante an</w:t>
      </w:r>
      <w:r w:rsidR="00A70195">
        <w:rPr>
          <w:rFonts w:cstheme="minorHAnsi"/>
        </w:rPr>
        <w:t xml:space="preserve">d in writing </w:t>
      </w:r>
      <w:r w:rsidR="00A70195" w:rsidRPr="003830B6">
        <w:rPr>
          <w:rFonts w:cstheme="minorHAnsi"/>
        </w:rPr>
        <w:t>on national level</w:t>
      </w:r>
      <w:r w:rsidR="00A70195">
        <w:rPr>
          <w:rFonts w:cstheme="minorHAnsi"/>
        </w:rPr>
        <w:t xml:space="preserve"> and </w:t>
      </w:r>
      <w:r w:rsidR="00F36AB8">
        <w:rPr>
          <w:rFonts w:cstheme="minorHAnsi"/>
        </w:rPr>
        <w:t xml:space="preserve">provided to FLC. </w:t>
      </w:r>
    </w:p>
    <w:p w14:paraId="1DA7DB1A" w14:textId="75B8F2A6" w:rsidR="007F7207" w:rsidRDefault="00F36AB8" w:rsidP="00F36AB8">
      <w:pPr>
        <w:pStyle w:val="Akapitzlist"/>
        <w:numPr>
          <w:ilvl w:val="0"/>
          <w:numId w:val="16"/>
        </w:numPr>
        <w:spacing w:after="12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Unless decided otherwise on national/institution level, it is recommended the </w:t>
      </w:r>
      <w:r w:rsidR="007F7207" w:rsidRPr="00F36AB8">
        <w:rPr>
          <w:rFonts w:cstheme="minorHAnsi"/>
        </w:rPr>
        <w:t>FLC decides on the type of verification of partner progress report immediately after receiving a partner progress report. The FLC follows point 3 or conducts a risk analysis in order to determine the type of verification to which the  report will be subjected: limited verification or full-scope verification.</w:t>
      </w:r>
    </w:p>
    <w:p w14:paraId="0948E05A" w14:textId="111E8CA3" w:rsidR="00736995" w:rsidRDefault="00505A20" w:rsidP="00895F9A">
      <w:pPr>
        <w:pStyle w:val="Akapitzlist"/>
        <w:numPr>
          <w:ilvl w:val="0"/>
          <w:numId w:val="16"/>
        </w:numPr>
      </w:pPr>
      <w:r w:rsidRPr="002E6EC2">
        <w:t>The FLC refrains from carrying out risk analysis</w:t>
      </w:r>
      <w:r w:rsidR="00830E4F" w:rsidRPr="002E6EC2">
        <w:t xml:space="preserve"> for</w:t>
      </w:r>
      <w:r w:rsidR="00830E4F">
        <w:t xml:space="preserve"> following</w:t>
      </w:r>
      <w:r w:rsidR="00830E4F" w:rsidRPr="00415DD6">
        <w:t xml:space="preserve"> </w:t>
      </w:r>
      <w:r w:rsidR="00830E4F">
        <w:t xml:space="preserve">types of partners progress reports, and </w:t>
      </w:r>
      <w:r w:rsidR="00415DD6">
        <w:t>attributes them to</w:t>
      </w:r>
      <w:r w:rsidR="00895F9A">
        <w:t xml:space="preserve"> </w:t>
      </w:r>
      <w:r w:rsidR="00415DD6" w:rsidRPr="00895F9A">
        <w:rPr>
          <w:b/>
          <w:bCs/>
        </w:rPr>
        <w:t>limited verification</w:t>
      </w:r>
      <w:r w:rsidR="00830E4F">
        <w:t xml:space="preserve">: </w:t>
      </w:r>
    </w:p>
    <w:p w14:paraId="4BD38C20" w14:textId="4085AD38" w:rsidR="00736995" w:rsidRDefault="00415DD6" w:rsidP="00736995">
      <w:pPr>
        <w:pStyle w:val="Akapitzlist"/>
        <w:numPr>
          <w:ilvl w:val="0"/>
          <w:numId w:val="17"/>
        </w:numPr>
      </w:pPr>
      <w:r>
        <w:t xml:space="preserve">reports </w:t>
      </w:r>
      <w:r w:rsidR="00CA1A5A">
        <w:t xml:space="preserve">with no expenditures (so called descriptive progress reports), </w:t>
      </w:r>
    </w:p>
    <w:p w14:paraId="0DB380A5" w14:textId="50A67322" w:rsidR="00736995" w:rsidRPr="006B69F8" w:rsidRDefault="00CA1A5A" w:rsidP="00736995">
      <w:pPr>
        <w:pStyle w:val="Akapitzlist"/>
        <w:numPr>
          <w:ilvl w:val="0"/>
          <w:numId w:val="17"/>
        </w:numPr>
      </w:pPr>
      <w:r w:rsidRPr="00E96C6B">
        <w:t>re</w:t>
      </w:r>
      <w:r w:rsidRPr="002E6EC2">
        <w:t>ports containing only preparatory costs</w:t>
      </w:r>
      <w:r w:rsidR="00E96C6B" w:rsidRPr="002E6EC2">
        <w:t xml:space="preserve">, provided that they </w:t>
      </w:r>
      <w:r w:rsidR="00895F9A" w:rsidRPr="002E6EC2">
        <w:t>settled</w:t>
      </w:r>
      <w:r w:rsidR="00E96C6B" w:rsidRPr="002E6EC2">
        <w:t xml:space="preserve"> as lump sum</w:t>
      </w:r>
      <w:r w:rsidR="00736995">
        <w:rPr>
          <w:rStyle w:val="Odwoanieprzypisudolnego"/>
        </w:rPr>
        <w:footnoteReference w:id="2"/>
      </w:r>
      <w:r w:rsidR="00736995" w:rsidRPr="00E96C6B">
        <w:t xml:space="preserve">, </w:t>
      </w:r>
    </w:p>
    <w:p w14:paraId="3A5AE553" w14:textId="55FD4BFC" w:rsidR="00736995" w:rsidRPr="006738EF" w:rsidRDefault="00787AF8" w:rsidP="00736995">
      <w:pPr>
        <w:pStyle w:val="Akapitzlist"/>
        <w:numPr>
          <w:ilvl w:val="0"/>
          <w:numId w:val="17"/>
        </w:numPr>
      </w:pPr>
      <w:r w:rsidRPr="002E6EC2">
        <w:t xml:space="preserve">reports </w:t>
      </w:r>
      <w:r w:rsidR="00895F9A" w:rsidRPr="002E6EC2">
        <w:t>which</w:t>
      </w:r>
      <w:r w:rsidRPr="002E6EC2">
        <w:t xml:space="preserve"> include only a lump sum (other than </w:t>
      </w:r>
      <w:r w:rsidR="006738EF" w:rsidRPr="002E6EC2">
        <w:t xml:space="preserve">for preparatory costs) </w:t>
      </w:r>
      <w:r w:rsidR="00736995" w:rsidRPr="006738EF">
        <w:t xml:space="preserve">, </w:t>
      </w:r>
    </w:p>
    <w:p w14:paraId="4C1C8182" w14:textId="467E9B09" w:rsidR="00736995" w:rsidRPr="00481EAE" w:rsidRDefault="006738EF" w:rsidP="00736995">
      <w:pPr>
        <w:pStyle w:val="Akapitzlist"/>
        <w:numPr>
          <w:ilvl w:val="0"/>
          <w:numId w:val="17"/>
        </w:numPr>
      </w:pPr>
      <w:r w:rsidRPr="00481EAE">
        <w:t>re</w:t>
      </w:r>
      <w:r w:rsidRPr="002E6EC2">
        <w:t>ports for se</w:t>
      </w:r>
      <w:r w:rsidR="007F7207">
        <w:t>e</w:t>
      </w:r>
      <w:r w:rsidRPr="002E6EC2">
        <w:t>d money projects, provided the</w:t>
      </w:r>
      <w:r w:rsidR="00481EAE">
        <w:t>y</w:t>
      </w:r>
      <w:r w:rsidRPr="002E6EC2">
        <w:t xml:space="preserve"> are settled </w:t>
      </w:r>
      <w:r w:rsidR="00481EAE" w:rsidRPr="002E6EC2">
        <w:t>with si</w:t>
      </w:r>
      <w:r w:rsidR="00481EAE">
        <w:t>mplified cost options</w:t>
      </w:r>
      <w:r w:rsidR="00736995" w:rsidRPr="00481EAE">
        <w:t xml:space="preserve">. </w:t>
      </w:r>
    </w:p>
    <w:p w14:paraId="526EA0CA" w14:textId="77777777" w:rsidR="00736995" w:rsidRPr="002E6EC2" w:rsidRDefault="00736995" w:rsidP="00736995">
      <w:pPr>
        <w:pStyle w:val="Akapitzlist"/>
      </w:pPr>
    </w:p>
    <w:p w14:paraId="791B5433" w14:textId="3382EF28" w:rsidR="00736995" w:rsidRPr="00895F9A" w:rsidRDefault="002E6EC2" w:rsidP="00736995">
      <w:pPr>
        <w:pStyle w:val="Akapitzlist"/>
        <w:numPr>
          <w:ilvl w:val="0"/>
          <w:numId w:val="16"/>
        </w:numPr>
      </w:pPr>
      <w:r w:rsidRPr="006D1B13">
        <w:t>All the other partner progres</w:t>
      </w:r>
      <w:r w:rsidR="00EA3DFD" w:rsidRPr="006D1B13">
        <w:t>s</w:t>
      </w:r>
      <w:r w:rsidRPr="006D1B13">
        <w:t xml:space="preserve"> reports</w:t>
      </w:r>
      <w:r w:rsidR="00EA3DFD" w:rsidRPr="006D1B13">
        <w:t xml:space="preserve"> are subject to the risk analysis</w:t>
      </w:r>
      <w:r w:rsidR="00EA3DFD" w:rsidRPr="00EA3DFD">
        <w:t xml:space="preserve"> </w:t>
      </w:r>
      <w:r w:rsidR="00EA3DFD" w:rsidRPr="006D1B13">
        <w:t xml:space="preserve">along </w:t>
      </w:r>
      <w:r w:rsidR="00EA3DFD">
        <w:t xml:space="preserve">the risk factor defined in this Methodology. </w:t>
      </w:r>
    </w:p>
    <w:p w14:paraId="287A1B2B" w14:textId="107D64A9" w:rsidR="00736995" w:rsidRDefault="00946291" w:rsidP="00736995">
      <w:pPr>
        <w:pStyle w:val="Akapitzlist"/>
        <w:numPr>
          <w:ilvl w:val="0"/>
          <w:numId w:val="16"/>
        </w:numPr>
      </w:pPr>
      <w:r w:rsidRPr="006D1B13">
        <w:t xml:space="preserve">Partner progress reports for which the score in the risk analysis is </w:t>
      </w:r>
      <w:r w:rsidR="006D1B13" w:rsidRPr="006D1B13">
        <w:rPr>
          <w:b/>
          <w:bCs/>
        </w:rPr>
        <w:t>equal or above</w:t>
      </w:r>
      <w:r w:rsidR="006D1B13">
        <w:t xml:space="preserve"> </w:t>
      </w:r>
      <w:r w:rsidR="00736995" w:rsidRPr="006D1B13">
        <w:rPr>
          <w:b/>
          <w:bCs/>
        </w:rPr>
        <w:t xml:space="preserve"> </w:t>
      </w:r>
      <w:r w:rsidR="00736995" w:rsidRPr="00895F9A">
        <w:rPr>
          <w:b/>
          <w:bCs/>
        </w:rPr>
        <w:t>1,9</w:t>
      </w:r>
      <w:r w:rsidRPr="00895F9A">
        <w:t xml:space="preserve"> are</w:t>
      </w:r>
      <w:r>
        <w:t xml:space="preserve"> subject to full-scope verification</w:t>
      </w:r>
      <w:r w:rsidR="00736995" w:rsidRPr="0072392C">
        <w:t xml:space="preserve">. </w:t>
      </w:r>
      <w:r w:rsidR="006D1B13" w:rsidRPr="006D1B13">
        <w:t>Th</w:t>
      </w:r>
      <w:r w:rsidR="006D1B13" w:rsidRPr="0072392C">
        <w:t xml:space="preserve">e FLC may stop the risk analysis once the score accounts for 1,9 points. </w:t>
      </w:r>
    </w:p>
    <w:p w14:paraId="7A1EB351" w14:textId="77777777" w:rsidR="007F7207" w:rsidRPr="00F36AB8" w:rsidRDefault="007F7207" w:rsidP="007F7207">
      <w:pPr>
        <w:pStyle w:val="Akapitzlist"/>
        <w:numPr>
          <w:ilvl w:val="0"/>
          <w:numId w:val="16"/>
        </w:numPr>
      </w:pPr>
      <w:r w:rsidRPr="00F36AB8">
        <w:t>The FLC repeats the risk analysis only if, as a result of clarifications/corrections, the value of the originally non-risky payment claim submitted by the beneficiary increases, or if the number of categories of actual costs increases.</w:t>
      </w:r>
    </w:p>
    <w:p w14:paraId="358B71F3" w14:textId="77777777" w:rsidR="007F7207" w:rsidRPr="00895F9A" w:rsidRDefault="007F7207" w:rsidP="00936152">
      <w:pPr>
        <w:pStyle w:val="Akapitzlist"/>
        <w:ind w:left="360"/>
      </w:pPr>
    </w:p>
    <w:p w14:paraId="2883BF54" w14:textId="77777777" w:rsidR="00AB1241" w:rsidRPr="00895F9A" w:rsidRDefault="00AB1241" w:rsidP="0072392C">
      <w:pPr>
        <w:pStyle w:val="Akapitzlist"/>
        <w:spacing w:after="120" w:line="276" w:lineRule="auto"/>
        <w:ind w:left="360"/>
        <w:contextualSpacing w:val="0"/>
        <w:jc w:val="both"/>
        <w:rPr>
          <w:rFonts w:cstheme="minorHAnsi"/>
        </w:rPr>
      </w:pPr>
    </w:p>
    <w:p w14:paraId="6B464F7E" w14:textId="5EFF41E8" w:rsidR="000676E2" w:rsidRDefault="00FC6C21" w:rsidP="00441B9F">
      <w:pPr>
        <w:pStyle w:val="Akapitzlist"/>
        <w:numPr>
          <w:ilvl w:val="0"/>
          <w:numId w:val="7"/>
        </w:numPr>
        <w:rPr>
          <w:b/>
          <w:bCs/>
        </w:rPr>
      </w:pPr>
      <w:r>
        <w:rPr>
          <w:b/>
        </w:rPr>
        <w:t>Factors for risk analysis:</w:t>
      </w:r>
    </w:p>
    <w:p w14:paraId="01904CBC" w14:textId="77777777" w:rsidR="00FE27B0" w:rsidRPr="00441B9F" w:rsidRDefault="00FE27B0" w:rsidP="00FE27B0">
      <w:pPr>
        <w:pStyle w:val="Akapitzlist"/>
        <w:rPr>
          <w:b/>
          <w:bCs/>
        </w:rPr>
      </w:pPr>
    </w:p>
    <w:p w14:paraId="5A056C23" w14:textId="2D5DB03E" w:rsidR="00DC2F5F" w:rsidRPr="00441B9F" w:rsidRDefault="00913D07" w:rsidP="00DC2F5F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</w:rPr>
        <w:t>P</w:t>
      </w:r>
      <w:r w:rsidR="0072392C">
        <w:rPr>
          <w:b/>
        </w:rPr>
        <w:t xml:space="preserve">artner </w:t>
      </w:r>
      <w:r w:rsidR="00116220">
        <w:rPr>
          <w:b/>
        </w:rPr>
        <w:t>P</w:t>
      </w:r>
      <w:r w:rsidR="0072392C">
        <w:rPr>
          <w:b/>
        </w:rPr>
        <w:t xml:space="preserve">rogress </w:t>
      </w:r>
      <w:r>
        <w:rPr>
          <w:b/>
        </w:rPr>
        <w:t>R</w:t>
      </w:r>
      <w:r w:rsidR="0072392C">
        <w:rPr>
          <w:b/>
        </w:rPr>
        <w:t>eport</w:t>
      </w:r>
      <w:r>
        <w:rPr>
          <w:b/>
        </w:rPr>
        <w:t xml:space="preserve"> </w:t>
      </w:r>
      <w:r w:rsidR="004F090A">
        <w:rPr>
          <w:b/>
        </w:rPr>
        <w:t xml:space="preserve">(PPR) </w:t>
      </w:r>
      <w:r>
        <w:rPr>
          <w:b/>
        </w:rPr>
        <w:t>value</w:t>
      </w:r>
      <w:r w:rsidR="00FB15D6">
        <w:rPr>
          <w:b/>
        </w:rPr>
        <w:t>, ERDF, EUR</w:t>
      </w:r>
      <w:r>
        <w:rPr>
          <w:b/>
        </w:rPr>
        <w:t>(</w:t>
      </w:r>
      <w:r w:rsidR="0059598A">
        <w:rPr>
          <w:b/>
        </w:rPr>
        <w:t>3</w:t>
      </w:r>
      <w:r>
        <w:rPr>
          <w:b/>
        </w:rPr>
        <w:t>5%)</w:t>
      </w:r>
    </w:p>
    <w:p w14:paraId="48392850" w14:textId="77777777" w:rsidR="004F090A" w:rsidRDefault="004F090A" w:rsidP="0006341A"/>
    <w:p w14:paraId="514AC76F" w14:textId="77777777" w:rsidR="00895F9A" w:rsidRPr="005C7089" w:rsidRDefault="00895F9A" w:rsidP="00895F9A">
      <w:r>
        <w:t>PPR</w:t>
      </w:r>
      <w:r w:rsidRPr="005C7089">
        <w:t xml:space="preserve">  &lt; </w:t>
      </w:r>
      <w:r>
        <w:t xml:space="preserve">8 </w:t>
      </w:r>
      <w:r w:rsidRPr="005C7089">
        <w:t>000 EUR – 1 p</w:t>
      </w:r>
      <w:r>
        <w:t>oints</w:t>
      </w:r>
    </w:p>
    <w:p w14:paraId="3CD1DD31" w14:textId="77777777" w:rsidR="00895F9A" w:rsidRPr="005C7089" w:rsidRDefault="00895F9A" w:rsidP="00895F9A">
      <w:r>
        <w:t xml:space="preserve">8 </w:t>
      </w:r>
      <w:r w:rsidRPr="005C7089">
        <w:t xml:space="preserve">000 ≤  </w:t>
      </w:r>
      <w:r>
        <w:t>PPR</w:t>
      </w:r>
      <w:r w:rsidRPr="005C7089">
        <w:t xml:space="preserve">  &lt; 1</w:t>
      </w:r>
      <w:r>
        <w:t xml:space="preserve">2 </w:t>
      </w:r>
      <w:r w:rsidRPr="005C7089">
        <w:t>000 EUR – 2 p</w:t>
      </w:r>
      <w:r>
        <w:t>oints</w:t>
      </w:r>
    </w:p>
    <w:p w14:paraId="5A1F81E8" w14:textId="77777777" w:rsidR="00895F9A" w:rsidRPr="005C7089" w:rsidRDefault="00895F9A" w:rsidP="00895F9A">
      <w:r w:rsidRPr="005C7089">
        <w:t>1</w:t>
      </w:r>
      <w:r>
        <w:t xml:space="preserve">2 </w:t>
      </w:r>
      <w:r w:rsidRPr="005C7089">
        <w:t xml:space="preserve">000 ≤ </w:t>
      </w:r>
      <w:r>
        <w:t>PPR</w:t>
      </w:r>
      <w:r w:rsidRPr="005C7089">
        <w:t xml:space="preserve">  &lt; </w:t>
      </w:r>
      <w:r>
        <w:t>2</w:t>
      </w:r>
      <w:r w:rsidRPr="005C7089">
        <w:t>0</w:t>
      </w:r>
      <w:r>
        <w:t xml:space="preserve"> </w:t>
      </w:r>
      <w:r w:rsidRPr="005C7089">
        <w:t>000 EUR – 3 p</w:t>
      </w:r>
      <w:r>
        <w:t>oints</w:t>
      </w:r>
    </w:p>
    <w:p w14:paraId="7F624332" w14:textId="67D10561" w:rsidR="00895F9A" w:rsidRDefault="00895F9A" w:rsidP="00895F9A">
      <w:r>
        <w:t>PPR</w:t>
      </w:r>
      <w:r w:rsidRPr="005C7089">
        <w:t xml:space="preserve"> ≥ </w:t>
      </w:r>
      <w:r>
        <w:t>2</w:t>
      </w:r>
      <w:r w:rsidRPr="005C7089">
        <w:t>0</w:t>
      </w:r>
      <w:r>
        <w:t xml:space="preserve"> </w:t>
      </w:r>
      <w:r w:rsidRPr="005C7089">
        <w:t>000 EUR – 4 p</w:t>
      </w:r>
      <w:r>
        <w:t>oints</w:t>
      </w:r>
    </w:p>
    <w:p w14:paraId="6452DF37" w14:textId="77777777" w:rsidR="004F090A" w:rsidRDefault="004F090A" w:rsidP="0006341A"/>
    <w:p w14:paraId="36F44674" w14:textId="485BD64A" w:rsidR="00DC2F5F" w:rsidRPr="00441B9F" w:rsidRDefault="00DC2F5F"/>
    <w:p w14:paraId="1B4BD12A" w14:textId="2A79DF45" w:rsidR="009C16B3" w:rsidRPr="00441B9F" w:rsidRDefault="00426298" w:rsidP="005D5133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</w:rPr>
        <w:t>Real</w:t>
      </w:r>
      <w:r w:rsidR="009C16B3">
        <w:rPr>
          <w:b/>
        </w:rPr>
        <w:t xml:space="preserve"> cost categor</w:t>
      </w:r>
      <w:r w:rsidR="00923BC7">
        <w:rPr>
          <w:b/>
        </w:rPr>
        <w:t>ies in PPR</w:t>
      </w:r>
      <w:r w:rsidR="009C16B3">
        <w:rPr>
          <w:b/>
        </w:rPr>
        <w:t>(</w:t>
      </w:r>
      <w:r w:rsidR="00677653">
        <w:rPr>
          <w:b/>
        </w:rPr>
        <w:t>3</w:t>
      </w:r>
      <w:r w:rsidR="009C16B3">
        <w:rPr>
          <w:b/>
        </w:rPr>
        <w:t>0%)</w:t>
      </w:r>
    </w:p>
    <w:p w14:paraId="15DA86DA" w14:textId="77777777" w:rsidR="00923BC7" w:rsidRPr="00701A12" w:rsidRDefault="00923BC7" w:rsidP="0257A89D"/>
    <w:p w14:paraId="42082220" w14:textId="033FAEE4" w:rsidR="006961AE" w:rsidRDefault="1488A4CA" w:rsidP="0257A89D">
      <w:r>
        <w:lastRenderedPageBreak/>
        <w:t xml:space="preserve">1 </w:t>
      </w:r>
      <w:r w:rsidR="00426298">
        <w:t>real</w:t>
      </w:r>
      <w:r>
        <w:t xml:space="preserve"> cost category in P</w:t>
      </w:r>
      <w:r w:rsidR="00116220">
        <w:t>P</w:t>
      </w:r>
      <w:r>
        <w:t xml:space="preserve">R </w:t>
      </w:r>
      <w:r w:rsidR="001D60B4">
        <w:t xml:space="preserve"> </w:t>
      </w:r>
      <w:r w:rsidR="00AA6FDE">
        <w:t xml:space="preserve">– </w:t>
      </w:r>
      <w:r>
        <w:t>2 points</w:t>
      </w:r>
    </w:p>
    <w:p w14:paraId="20472576" w14:textId="303A268C" w:rsidR="006961AE" w:rsidRDefault="00984F69" w:rsidP="0257A89D">
      <w:r>
        <w:t xml:space="preserve">2 </w:t>
      </w:r>
      <w:r w:rsidR="00020F35">
        <w:t>real</w:t>
      </w:r>
      <w:r w:rsidR="1488A4CA">
        <w:t xml:space="preserve"> costs </w:t>
      </w:r>
      <w:r>
        <w:t xml:space="preserve">categories in PPR </w:t>
      </w:r>
      <w:r w:rsidR="00AA6FDE">
        <w:t xml:space="preserve">– </w:t>
      </w:r>
      <w:r w:rsidR="1488A4CA">
        <w:t>3 points</w:t>
      </w:r>
    </w:p>
    <w:p w14:paraId="03E057B9" w14:textId="41E58D58" w:rsidR="007610F9" w:rsidRPr="00BA3498" w:rsidRDefault="00984F69" w:rsidP="0257A89D">
      <w:r w:rsidRPr="00BA3498">
        <w:t>3</w:t>
      </w:r>
      <w:r w:rsidR="1488A4CA" w:rsidRPr="00BA3498">
        <w:t xml:space="preserve"> or more </w:t>
      </w:r>
      <w:r w:rsidR="00020F35" w:rsidRPr="00BA3498">
        <w:t>real</w:t>
      </w:r>
      <w:r w:rsidR="1488A4CA" w:rsidRPr="00BA3498">
        <w:t xml:space="preserve"> cost categories in P</w:t>
      </w:r>
      <w:r w:rsidR="00116220" w:rsidRPr="00BA3498">
        <w:t>P</w:t>
      </w:r>
      <w:r w:rsidR="1488A4CA" w:rsidRPr="00BA3498">
        <w:t>R</w:t>
      </w:r>
      <w:r w:rsidR="00626216">
        <w:t xml:space="preserve"> </w:t>
      </w:r>
      <w:r w:rsidR="00AA6FDE" w:rsidRPr="00BA3498">
        <w:t xml:space="preserve">– </w:t>
      </w:r>
      <w:r w:rsidR="1488A4CA" w:rsidRPr="00BA3498">
        <w:t xml:space="preserve">4 points </w:t>
      </w:r>
    </w:p>
    <w:p w14:paraId="2F2D29B0" w14:textId="77777777" w:rsidR="00BB7817" w:rsidRPr="00E655EB" w:rsidRDefault="00BB7817" w:rsidP="0257A89D"/>
    <w:p w14:paraId="01F842A8" w14:textId="77777777" w:rsidR="00E655EB" w:rsidRDefault="00E655EB" w:rsidP="008B0B51"/>
    <w:p w14:paraId="6F131ACF" w14:textId="0B9A6F53" w:rsidR="005D5133" w:rsidRPr="00E07F56" w:rsidRDefault="005D5133" w:rsidP="005D5133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</w:rPr>
        <w:t xml:space="preserve">Irregularities (including those found and reduced in </w:t>
      </w:r>
      <w:r w:rsidR="00020F35">
        <w:rPr>
          <w:b/>
        </w:rPr>
        <w:t>P</w:t>
      </w:r>
      <w:r w:rsidR="00116220">
        <w:rPr>
          <w:b/>
        </w:rPr>
        <w:t>P</w:t>
      </w:r>
      <w:r w:rsidR="00020F35">
        <w:rPr>
          <w:b/>
        </w:rPr>
        <w:t>Rs</w:t>
      </w:r>
      <w:r>
        <w:rPr>
          <w:b/>
        </w:rPr>
        <w:t xml:space="preserve">) in the </w:t>
      </w:r>
      <w:r w:rsidR="00020F35">
        <w:rPr>
          <w:b/>
        </w:rPr>
        <w:t>partner</w:t>
      </w:r>
      <w:r>
        <w:rPr>
          <w:b/>
        </w:rPr>
        <w:t xml:space="preserve">'s part of the project determined in connection with previous </w:t>
      </w:r>
      <w:r w:rsidR="00020F35">
        <w:rPr>
          <w:b/>
        </w:rPr>
        <w:t>controls</w:t>
      </w:r>
      <w:r>
        <w:rPr>
          <w:b/>
        </w:rPr>
        <w:t xml:space="preserve"> (summed over the entire project implementation period for a given partner from </w:t>
      </w:r>
      <w:r w:rsidR="00020F35">
        <w:rPr>
          <w:b/>
        </w:rPr>
        <w:t>controls</w:t>
      </w:r>
      <w:r>
        <w:rPr>
          <w:b/>
        </w:rPr>
        <w:t xml:space="preserve"> conducted by the </w:t>
      </w:r>
      <w:r w:rsidR="005A117B">
        <w:rPr>
          <w:b/>
        </w:rPr>
        <w:t xml:space="preserve">controller </w:t>
      </w:r>
      <w:r w:rsidR="00701A12">
        <w:rPr>
          <w:b/>
        </w:rPr>
        <w:t xml:space="preserve">– administrative and on-the-spot </w:t>
      </w:r>
      <w:r>
        <w:rPr>
          <w:b/>
        </w:rPr>
        <w:t xml:space="preserve">and </w:t>
      </w:r>
      <w:r w:rsidR="00701A12">
        <w:rPr>
          <w:b/>
        </w:rPr>
        <w:t xml:space="preserve">from </w:t>
      </w:r>
      <w:r>
        <w:rPr>
          <w:b/>
        </w:rPr>
        <w:t>external audits) (15%)</w:t>
      </w:r>
    </w:p>
    <w:p w14:paraId="273ADED6" w14:textId="06F4EE02" w:rsidR="00E07F56" w:rsidRPr="00AA6FDE" w:rsidRDefault="00E07F56" w:rsidP="00E07F56">
      <w:pPr>
        <w:rPr>
          <w:lang w:val="fr-FR"/>
        </w:rPr>
      </w:pPr>
      <w:r w:rsidRPr="00AA6FDE">
        <w:rPr>
          <w:lang w:val="fr-FR"/>
        </w:rPr>
        <w:t>Total ≤ EUR 250</w:t>
      </w:r>
      <w:r w:rsidR="00AA6FDE">
        <w:rPr>
          <w:lang w:val="fr-FR"/>
        </w:rPr>
        <w:t xml:space="preserve"> – </w:t>
      </w:r>
      <w:r w:rsidRPr="00AA6FDE">
        <w:rPr>
          <w:lang w:val="fr-FR"/>
        </w:rPr>
        <w:t>1 point</w:t>
      </w:r>
    </w:p>
    <w:p w14:paraId="0FB8F485" w14:textId="0EF5E13C" w:rsidR="00E07F56" w:rsidRPr="00AA6FDE" w:rsidRDefault="00E07F56" w:rsidP="00E07F56">
      <w:pPr>
        <w:rPr>
          <w:lang w:val="fr-FR"/>
        </w:rPr>
      </w:pPr>
      <w:r w:rsidRPr="00AA6FDE">
        <w:rPr>
          <w:lang w:val="fr-FR"/>
        </w:rPr>
        <w:t>EUR 250 &lt; total ≤ EUR 1</w:t>
      </w:r>
      <w:r w:rsidR="002514DD">
        <w:rPr>
          <w:lang w:val="fr-FR"/>
        </w:rPr>
        <w:t>,</w:t>
      </w:r>
      <w:r w:rsidRPr="00AA6FDE">
        <w:rPr>
          <w:lang w:val="fr-FR"/>
        </w:rPr>
        <w:t>000</w:t>
      </w:r>
      <w:r w:rsidR="00AA6FDE">
        <w:rPr>
          <w:lang w:val="fr-FR"/>
        </w:rPr>
        <w:t xml:space="preserve"> – </w:t>
      </w:r>
      <w:r w:rsidRPr="00AA6FDE">
        <w:rPr>
          <w:lang w:val="fr-FR"/>
        </w:rPr>
        <w:t>2 points</w:t>
      </w:r>
    </w:p>
    <w:p w14:paraId="5D5E4B5B" w14:textId="4D8EFA71" w:rsidR="00E07F56" w:rsidRPr="00AA6FDE" w:rsidRDefault="00E07F56" w:rsidP="00E07F56">
      <w:pPr>
        <w:rPr>
          <w:lang w:val="fr-FR"/>
        </w:rPr>
      </w:pPr>
      <w:r w:rsidRPr="00AA6FDE">
        <w:rPr>
          <w:lang w:val="fr-FR"/>
        </w:rPr>
        <w:t>EUR 1</w:t>
      </w:r>
      <w:r w:rsidR="002514DD">
        <w:rPr>
          <w:lang w:val="fr-FR"/>
        </w:rPr>
        <w:t>,</w:t>
      </w:r>
      <w:r w:rsidRPr="00AA6FDE">
        <w:rPr>
          <w:lang w:val="fr-FR"/>
        </w:rPr>
        <w:t>000 &lt; total ≤ EUR 10</w:t>
      </w:r>
      <w:r w:rsidR="002514DD">
        <w:rPr>
          <w:lang w:val="fr-FR"/>
        </w:rPr>
        <w:t>,</w:t>
      </w:r>
      <w:r w:rsidRPr="00AA6FDE">
        <w:rPr>
          <w:lang w:val="fr-FR"/>
        </w:rPr>
        <w:t>000</w:t>
      </w:r>
      <w:r w:rsidR="00AA6FDE">
        <w:rPr>
          <w:lang w:val="fr-FR"/>
        </w:rPr>
        <w:t xml:space="preserve"> – </w:t>
      </w:r>
      <w:r w:rsidRPr="00AA6FDE">
        <w:rPr>
          <w:lang w:val="fr-FR"/>
        </w:rPr>
        <w:t>3 points</w:t>
      </w:r>
    </w:p>
    <w:p w14:paraId="09684457" w14:textId="012A8FE1" w:rsidR="005D5133" w:rsidRDefault="00E07F56" w:rsidP="00860BD2">
      <w:pPr>
        <w:rPr>
          <w:lang w:val="fr-FR"/>
        </w:rPr>
      </w:pPr>
      <w:r w:rsidRPr="00AA6FDE">
        <w:rPr>
          <w:lang w:val="fr-FR"/>
        </w:rPr>
        <w:t>Total &gt; EUR 10</w:t>
      </w:r>
      <w:r w:rsidR="002514DD">
        <w:rPr>
          <w:lang w:val="fr-FR"/>
        </w:rPr>
        <w:t>,</w:t>
      </w:r>
      <w:r w:rsidRPr="00AA6FDE">
        <w:rPr>
          <w:lang w:val="fr-FR"/>
        </w:rPr>
        <w:t>000</w:t>
      </w:r>
      <w:r w:rsidR="00AA6FDE">
        <w:rPr>
          <w:lang w:val="fr-FR"/>
        </w:rPr>
        <w:t xml:space="preserve"> – </w:t>
      </w:r>
      <w:r w:rsidRPr="00AA6FDE">
        <w:rPr>
          <w:lang w:val="fr-FR"/>
        </w:rPr>
        <w:t>4 points</w:t>
      </w:r>
    </w:p>
    <w:p w14:paraId="22DA4B90" w14:textId="77777777" w:rsidR="00701A12" w:rsidRPr="00AA6FDE" w:rsidRDefault="00701A12" w:rsidP="00860BD2">
      <w:pPr>
        <w:rPr>
          <w:lang w:val="fr-FR"/>
        </w:rPr>
      </w:pPr>
    </w:p>
    <w:p w14:paraId="5462A561" w14:textId="0224C5E1" w:rsidR="00E07F56" w:rsidRDefault="54F81CCC" w:rsidP="00E07F56">
      <w:pPr>
        <w:pStyle w:val="Akapitzlist"/>
        <w:numPr>
          <w:ilvl w:val="0"/>
          <w:numId w:val="2"/>
        </w:numPr>
        <w:rPr>
          <w:b/>
          <w:bCs/>
        </w:rPr>
      </w:pPr>
      <w:r w:rsidRPr="00BD78ED">
        <w:rPr>
          <w:b/>
        </w:rPr>
        <w:t xml:space="preserve">Controller's evaluation from cooperation with the </w:t>
      </w:r>
      <w:r w:rsidR="00020F35" w:rsidRPr="00BD78ED">
        <w:rPr>
          <w:b/>
        </w:rPr>
        <w:t xml:space="preserve">partner </w:t>
      </w:r>
      <w:r w:rsidRPr="00BD78ED">
        <w:rPr>
          <w:b/>
        </w:rPr>
        <w:t xml:space="preserve">(also from other projects). </w:t>
      </w:r>
      <w:r>
        <w:rPr>
          <w:b/>
        </w:rPr>
        <w:t xml:space="preserve">Based on the past implementation of Interreg projects and the </w:t>
      </w:r>
      <w:r w:rsidR="00BD78ED">
        <w:rPr>
          <w:b/>
        </w:rPr>
        <w:t>quality of partner progress reports presented so far</w:t>
      </w:r>
      <w:r>
        <w:rPr>
          <w:b/>
        </w:rPr>
        <w:t>, the controller assesses the probability of errors in documentation and project implementation as (</w:t>
      </w:r>
      <w:r w:rsidR="004B449D">
        <w:rPr>
          <w:b/>
        </w:rPr>
        <w:t>20</w:t>
      </w:r>
      <w:r>
        <w:rPr>
          <w:b/>
        </w:rPr>
        <w:t>%)</w:t>
      </w:r>
    </w:p>
    <w:p w14:paraId="1F64E4A7" w14:textId="2FFC7662" w:rsidR="00D47130" w:rsidRDefault="001B49DE" w:rsidP="00D47130">
      <w:r>
        <w:t xml:space="preserve">low (e.g., </w:t>
      </w:r>
      <w:r w:rsidR="00020F35">
        <w:t>partner</w:t>
      </w:r>
      <w:r>
        <w:t xml:space="preserve"> has submitted previous </w:t>
      </w:r>
      <w:r w:rsidR="0025560A">
        <w:t>partner reports</w:t>
      </w:r>
      <w:r>
        <w:t xml:space="preserve"> on time, low number of errors and/or deficiencies in documentation</w:t>
      </w:r>
      <w:r w:rsidR="00AA6FDE">
        <w:t xml:space="preserve"> –</w:t>
      </w:r>
      <w:r w:rsidR="00A7482A">
        <w:t xml:space="preserve">only </w:t>
      </w:r>
      <w:r>
        <w:t xml:space="preserve">formal deficiencies, meeting deadlines for submission of clarification supplements or the next version of the </w:t>
      </w:r>
      <w:r w:rsidR="00116220">
        <w:t>progress reports</w:t>
      </w:r>
      <w:r>
        <w:t xml:space="preserve">, ongoing contact and informing the </w:t>
      </w:r>
      <w:r w:rsidR="005A117B">
        <w:t>c</w:t>
      </w:r>
      <w:r>
        <w:t>ontroller of any delays agreed with the JS or lead partner)</w:t>
      </w:r>
      <w:r w:rsidR="00AA6FDE">
        <w:t xml:space="preserve"> – </w:t>
      </w:r>
      <w:r>
        <w:t>1 point</w:t>
      </w:r>
    </w:p>
    <w:p w14:paraId="6B67B89A" w14:textId="216FB265" w:rsidR="00F025CF" w:rsidRPr="00E633B8" w:rsidRDefault="008C59BE" w:rsidP="00D47130">
      <w:r w:rsidRPr="00413D9C">
        <w:t>medium</w:t>
      </w:r>
      <w:r w:rsidR="00F025CF" w:rsidRPr="00413D9C">
        <w:t xml:space="preserve"> (e.g. formal errors in the </w:t>
      </w:r>
      <w:r w:rsidR="0025560A" w:rsidRPr="00413D9C">
        <w:t xml:space="preserve">partner </w:t>
      </w:r>
      <w:r w:rsidR="00116220" w:rsidRPr="00413D9C">
        <w:t>progress reports</w:t>
      </w:r>
      <w:r w:rsidR="00F025CF" w:rsidRPr="00413D9C">
        <w:t>, low number of substantive errors</w:t>
      </w:r>
      <w:r w:rsidR="00D918DD" w:rsidRPr="00413D9C">
        <w:t xml:space="preserve">, </w:t>
      </w:r>
      <w:r w:rsidR="00413D9C" w:rsidRPr="00F36AB8">
        <w:t>need to correct value of</w:t>
      </w:r>
      <w:r w:rsidR="00413D9C">
        <w:t xml:space="preserve"> partner progress reports </w:t>
      </w:r>
      <w:r w:rsidR="00E633B8">
        <w:t>during their verification (mathematical mistakes)</w:t>
      </w:r>
      <w:r w:rsidR="00E67E0F">
        <w:t>,</w:t>
      </w:r>
      <w:r w:rsidR="00E633B8">
        <w:t xml:space="preserve"> occasional delays in submitting progress reports and expla</w:t>
      </w:r>
      <w:r w:rsidR="00E67E0F">
        <w:t>nations thereto,</w:t>
      </w:r>
      <w:r w:rsidR="00413D9C" w:rsidRPr="00E633B8">
        <w:t xml:space="preserve"> </w:t>
      </w:r>
      <w:r w:rsidR="00D918DD" w:rsidRPr="00E633B8">
        <w:t>controller has no experience in cooperating with the project partner</w:t>
      </w:r>
      <w:r w:rsidR="00F025CF" w:rsidRPr="00E633B8">
        <w:t>)</w:t>
      </w:r>
      <w:r w:rsidR="00AA6FDE" w:rsidRPr="00E633B8">
        <w:t xml:space="preserve"> – </w:t>
      </w:r>
      <w:r w:rsidR="00F025CF" w:rsidRPr="00E633B8">
        <w:t>2 points</w:t>
      </w:r>
    </w:p>
    <w:p w14:paraId="54DBDA57" w14:textId="551B844A" w:rsidR="00D47130" w:rsidRDefault="008C59BE" w:rsidP="00D47130">
      <w:r>
        <w:t>high</w:t>
      </w:r>
      <w:r w:rsidR="0048312F">
        <w:t xml:space="preserve"> </w:t>
      </w:r>
      <w:r w:rsidR="00D47130">
        <w:t>(</w:t>
      </w:r>
      <w:r w:rsidR="00F74D5C">
        <w:t xml:space="preserve">e.g. </w:t>
      </w:r>
      <w:r w:rsidR="00D47130">
        <w:t xml:space="preserve">including problems with contacting people in charge of the project, frequent delays in submitting </w:t>
      </w:r>
      <w:r w:rsidR="0025560A">
        <w:t xml:space="preserve">partner </w:t>
      </w:r>
      <w:r w:rsidR="00116220">
        <w:t>progress reports</w:t>
      </w:r>
      <w:r w:rsidR="00A73462">
        <w:t xml:space="preserve"> and explanations</w:t>
      </w:r>
      <w:r w:rsidR="000F2D4F">
        <w:t>,</w:t>
      </w:r>
      <w:r w:rsidR="00D47130">
        <w:t xml:space="preserve"> large number of formal and substantive errors</w:t>
      </w:r>
      <w:r w:rsidR="00A73462">
        <w:t>,</w:t>
      </w:r>
      <w:r w:rsidR="000F2D4F">
        <w:t xml:space="preserve"> significant value of corrections made in previous progress reports during the verification process</w:t>
      </w:r>
      <w:r w:rsidR="00444E3E">
        <w:t>/presenting by partner ineligible expenditures in previous progress reports, repetitive mistakes</w:t>
      </w:r>
      <w:r w:rsidR="00D47130">
        <w:t>)</w:t>
      </w:r>
      <w:r w:rsidR="00AA6FDE">
        <w:t xml:space="preserve"> – </w:t>
      </w:r>
      <w:r w:rsidR="00D47130">
        <w:t>3 points</w:t>
      </w:r>
    </w:p>
    <w:p w14:paraId="2D4F4DE5" w14:textId="1B9833A0" w:rsidR="00D47130" w:rsidRDefault="006474C5" w:rsidP="00D47130">
      <w:r>
        <w:t xml:space="preserve">very </w:t>
      </w:r>
      <w:r w:rsidR="00D47130">
        <w:t>high (</w:t>
      </w:r>
      <w:r w:rsidR="0048312F">
        <w:t>e.g. delays in submitting partner</w:t>
      </w:r>
      <w:r w:rsidR="006762CD">
        <w:t xml:space="preserve"> progress report endangering the timely implementation of the project, </w:t>
      </w:r>
      <w:r w:rsidR="005273CB">
        <w:t xml:space="preserve">cooperation which </w:t>
      </w:r>
      <w:r w:rsidR="00C1625C">
        <w:t>prevents</w:t>
      </w:r>
      <w:r w:rsidR="005273CB">
        <w:t xml:space="preserve"> the controller to execute verification of the report within set deadlines,</w:t>
      </w:r>
      <w:r w:rsidR="00BF2A86">
        <w:t xml:space="preserve"> for example no submitting documents and/or </w:t>
      </w:r>
      <w:r w:rsidR="00203450">
        <w:t>explanations</w:t>
      </w:r>
      <w:r w:rsidR="00BF2A86">
        <w:t xml:space="preserve"> on controller’s request, or </w:t>
      </w:r>
      <w:r w:rsidR="00203450">
        <w:t>submitting incomplete documents/information</w:t>
      </w:r>
      <w:r w:rsidR="00497440">
        <w:t>, significant value of corrections made in previous progress reports during the verification process/presenting by partner ineligible expenditures in previous progress reports, repetitive mistakes</w:t>
      </w:r>
      <w:r w:rsidR="00D47130">
        <w:t>)</w:t>
      </w:r>
      <w:r w:rsidR="00AA6FDE">
        <w:t xml:space="preserve"> – </w:t>
      </w:r>
      <w:r w:rsidR="00D47130">
        <w:t>4 points</w:t>
      </w:r>
    </w:p>
    <w:p w14:paraId="19B89E26" w14:textId="7863D836" w:rsidR="00441B9F" w:rsidRDefault="00441B9F" w:rsidP="00D47130">
      <w:pPr>
        <w:rPr>
          <w:b/>
          <w:bCs/>
        </w:rPr>
      </w:pPr>
      <w:r>
        <w:rPr>
          <w:b/>
        </w:rPr>
        <w:t>Results of risk analysis</w:t>
      </w:r>
    </w:p>
    <w:tbl>
      <w:tblPr>
        <w:tblStyle w:val="Tabela-Siatka"/>
        <w:tblW w:w="9076" w:type="dxa"/>
        <w:tblInd w:w="-5" w:type="dxa"/>
        <w:tblLook w:val="04A0" w:firstRow="1" w:lastRow="0" w:firstColumn="1" w:lastColumn="0" w:noHBand="0" w:noVBand="1"/>
      </w:tblPr>
      <w:tblGrid>
        <w:gridCol w:w="1277"/>
        <w:gridCol w:w="1010"/>
        <w:gridCol w:w="1513"/>
        <w:gridCol w:w="1463"/>
        <w:gridCol w:w="1384"/>
        <w:gridCol w:w="1327"/>
        <w:gridCol w:w="1102"/>
      </w:tblGrid>
      <w:tr w:rsidR="0068440D" w:rsidRPr="0068440D" w14:paraId="27E3E906" w14:textId="77777777" w:rsidTr="00C65596">
        <w:tc>
          <w:tcPr>
            <w:tcW w:w="1277" w:type="dxa"/>
          </w:tcPr>
          <w:p w14:paraId="5DB5FFE5" w14:textId="77777777" w:rsidR="007315F0" w:rsidRDefault="007315F0" w:rsidP="00C81B33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</w:rPr>
              <w:lastRenderedPageBreak/>
              <w:t>Factors</w:t>
            </w:r>
          </w:p>
        </w:tc>
        <w:tc>
          <w:tcPr>
            <w:tcW w:w="1010" w:type="dxa"/>
          </w:tcPr>
          <w:p w14:paraId="2A26E0C4" w14:textId="10E76B4C" w:rsidR="007315F0" w:rsidRDefault="007315F0" w:rsidP="00C81B33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</w:rPr>
              <w:t>P</w:t>
            </w:r>
            <w:r w:rsidR="00116220">
              <w:rPr>
                <w:b/>
              </w:rPr>
              <w:t>P</w:t>
            </w:r>
            <w:r>
              <w:rPr>
                <w:b/>
              </w:rPr>
              <w:t>R value</w:t>
            </w:r>
            <w:r w:rsidR="003F1A56">
              <w:rPr>
                <w:b/>
              </w:rPr>
              <w:t>, ERDF, EUR</w:t>
            </w:r>
          </w:p>
        </w:tc>
        <w:tc>
          <w:tcPr>
            <w:tcW w:w="1513" w:type="dxa"/>
          </w:tcPr>
          <w:p w14:paraId="30897A3F" w14:textId="34F570AB" w:rsidR="007315F0" w:rsidRDefault="00020F35" w:rsidP="00C81B33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</w:rPr>
              <w:t>Real</w:t>
            </w:r>
            <w:r w:rsidR="007315F0">
              <w:rPr>
                <w:b/>
              </w:rPr>
              <w:t xml:space="preserve"> cost categories in the P</w:t>
            </w:r>
            <w:r w:rsidR="00116220">
              <w:rPr>
                <w:b/>
              </w:rPr>
              <w:t>P</w:t>
            </w:r>
            <w:r w:rsidR="007315F0">
              <w:rPr>
                <w:b/>
              </w:rPr>
              <w:t>R</w:t>
            </w:r>
          </w:p>
        </w:tc>
        <w:tc>
          <w:tcPr>
            <w:tcW w:w="1463" w:type="dxa"/>
          </w:tcPr>
          <w:p w14:paraId="2523A1D3" w14:textId="702390AA" w:rsidR="007315F0" w:rsidRDefault="007315F0" w:rsidP="00C81B33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1384" w:type="dxa"/>
          </w:tcPr>
          <w:p w14:paraId="6303D472" w14:textId="77777777" w:rsidR="007315F0" w:rsidRPr="00FE27B0" w:rsidRDefault="007315F0" w:rsidP="00C81B33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</w:rPr>
              <w:t>Value of project irregularities</w:t>
            </w:r>
          </w:p>
        </w:tc>
        <w:tc>
          <w:tcPr>
            <w:tcW w:w="1327" w:type="dxa"/>
          </w:tcPr>
          <w:p w14:paraId="24FA0D7B" w14:textId="5997BB50" w:rsidR="007315F0" w:rsidRDefault="00CB6C09" w:rsidP="00C81B33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</w:rPr>
              <w:t>Controller's assessment of cooperation with the beneficiary</w:t>
            </w:r>
          </w:p>
        </w:tc>
        <w:tc>
          <w:tcPr>
            <w:tcW w:w="1102" w:type="dxa"/>
          </w:tcPr>
          <w:p w14:paraId="52CA6147" w14:textId="0767DDD2" w:rsidR="386D06E2" w:rsidRPr="0068440D" w:rsidRDefault="386D06E2" w:rsidP="56FAD4AE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Result</w:t>
            </w:r>
          </w:p>
          <w:p w14:paraId="39CE3CAB" w14:textId="4A68CA31" w:rsidR="386D06E2" w:rsidRPr="0068440D" w:rsidRDefault="386D06E2" w:rsidP="56FAD4AE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(points)</w:t>
            </w:r>
          </w:p>
          <w:p w14:paraId="27F72959" w14:textId="06E43B2E" w:rsidR="56FAD4AE" w:rsidRPr="0068440D" w:rsidRDefault="56FAD4AE" w:rsidP="56FAD4AE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68440D" w:rsidRPr="0068440D" w14:paraId="615B5426" w14:textId="77777777" w:rsidTr="00C65596">
        <w:tc>
          <w:tcPr>
            <w:tcW w:w="1277" w:type="dxa"/>
          </w:tcPr>
          <w:p w14:paraId="6D6F4DA3" w14:textId="77777777" w:rsidR="007315F0" w:rsidRDefault="007315F0" w:rsidP="00C81B33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</w:rPr>
              <w:t>Points</w:t>
            </w:r>
          </w:p>
        </w:tc>
        <w:tc>
          <w:tcPr>
            <w:tcW w:w="1010" w:type="dxa"/>
          </w:tcPr>
          <w:p w14:paraId="62026AD6" w14:textId="77777777" w:rsidR="007315F0" w:rsidRPr="00262F32" w:rsidRDefault="007315F0" w:rsidP="00C81B33">
            <w:pPr>
              <w:pStyle w:val="Akapitzlist"/>
              <w:ind w:left="0"/>
            </w:pPr>
            <w:r>
              <w:t>1-4</w:t>
            </w:r>
          </w:p>
        </w:tc>
        <w:tc>
          <w:tcPr>
            <w:tcW w:w="1513" w:type="dxa"/>
          </w:tcPr>
          <w:p w14:paraId="11C98111" w14:textId="1F71C4F1" w:rsidR="007315F0" w:rsidRPr="00262F32" w:rsidRDefault="00C65596" w:rsidP="00C81B33">
            <w:pPr>
              <w:pStyle w:val="Akapitzlist"/>
              <w:ind w:left="0"/>
            </w:pPr>
            <w:r>
              <w:t>2</w:t>
            </w:r>
            <w:r w:rsidR="007315F0">
              <w:t>-4</w:t>
            </w:r>
          </w:p>
        </w:tc>
        <w:tc>
          <w:tcPr>
            <w:tcW w:w="1463" w:type="dxa"/>
          </w:tcPr>
          <w:p w14:paraId="7A691D2C" w14:textId="6A9D1CB4" w:rsidR="007315F0" w:rsidRPr="00262F32" w:rsidRDefault="007315F0" w:rsidP="00C81B33">
            <w:pPr>
              <w:pStyle w:val="Akapitzlist"/>
              <w:ind w:left="0"/>
            </w:pPr>
          </w:p>
        </w:tc>
        <w:tc>
          <w:tcPr>
            <w:tcW w:w="1384" w:type="dxa"/>
          </w:tcPr>
          <w:p w14:paraId="2D912370" w14:textId="77777777" w:rsidR="007315F0" w:rsidRPr="00262F32" w:rsidRDefault="007315F0" w:rsidP="00C81B33">
            <w:pPr>
              <w:pStyle w:val="Akapitzlist"/>
              <w:ind w:left="0"/>
            </w:pPr>
            <w:r>
              <w:t>1-4</w:t>
            </w:r>
          </w:p>
        </w:tc>
        <w:tc>
          <w:tcPr>
            <w:tcW w:w="1327" w:type="dxa"/>
          </w:tcPr>
          <w:p w14:paraId="34093C4E" w14:textId="77777777" w:rsidR="007315F0" w:rsidRPr="00262F32" w:rsidRDefault="007315F0" w:rsidP="00C81B33">
            <w:pPr>
              <w:pStyle w:val="Akapitzlist"/>
              <w:ind w:left="0"/>
            </w:pPr>
            <w:r>
              <w:t>1-4</w:t>
            </w:r>
          </w:p>
        </w:tc>
        <w:tc>
          <w:tcPr>
            <w:tcW w:w="1102" w:type="dxa"/>
          </w:tcPr>
          <w:p w14:paraId="4F9A65AC" w14:textId="36E7824A" w:rsidR="328AA2A0" w:rsidRPr="0068440D" w:rsidRDefault="328AA2A0" w:rsidP="00453621">
            <w:pPr>
              <w:pStyle w:val="Akapitzlist"/>
              <w:ind w:left="0"/>
            </w:pPr>
            <w:r>
              <w:rPr>
                <w:u w:val="single"/>
              </w:rPr>
              <w:t>Ʃ</w:t>
            </w:r>
            <w:r w:rsidR="00AA6FDE">
              <w:t xml:space="preserve"> </w:t>
            </w:r>
            <w:r>
              <w:t>(factor size x weight)</w:t>
            </w:r>
          </w:p>
        </w:tc>
      </w:tr>
      <w:tr w:rsidR="00C65596" w:rsidRPr="0068440D" w14:paraId="66DEE552" w14:textId="77777777" w:rsidTr="00C65596">
        <w:tc>
          <w:tcPr>
            <w:tcW w:w="1277" w:type="dxa"/>
          </w:tcPr>
          <w:p w14:paraId="07B83184" w14:textId="77777777" w:rsidR="00C65596" w:rsidRDefault="00C65596" w:rsidP="00C65596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</w:rPr>
              <w:t>Weight</w:t>
            </w:r>
          </w:p>
        </w:tc>
        <w:tc>
          <w:tcPr>
            <w:tcW w:w="1010" w:type="dxa"/>
          </w:tcPr>
          <w:p w14:paraId="40504429" w14:textId="28630659" w:rsidR="00C65596" w:rsidRPr="00262F32" w:rsidRDefault="00C65596" w:rsidP="00C65596">
            <w:pPr>
              <w:pStyle w:val="Akapitzlist"/>
              <w:ind w:left="0"/>
            </w:pPr>
            <w:r w:rsidRPr="00FE566A">
              <w:t>0,</w:t>
            </w:r>
            <w:r>
              <w:t>3</w:t>
            </w:r>
            <w:r w:rsidRPr="00FE566A">
              <w:t>5</w:t>
            </w:r>
          </w:p>
        </w:tc>
        <w:tc>
          <w:tcPr>
            <w:tcW w:w="1513" w:type="dxa"/>
          </w:tcPr>
          <w:p w14:paraId="62539D01" w14:textId="79F75FD1" w:rsidR="00C65596" w:rsidRPr="00262F32" w:rsidRDefault="00C65596" w:rsidP="00C65596">
            <w:pPr>
              <w:pStyle w:val="Akapitzlist"/>
              <w:ind w:left="0"/>
            </w:pPr>
            <w:r w:rsidRPr="00FE566A">
              <w:t>0,</w:t>
            </w:r>
            <w:r>
              <w:t>3</w:t>
            </w:r>
            <w:r w:rsidRPr="00FE566A">
              <w:t>0</w:t>
            </w:r>
          </w:p>
        </w:tc>
        <w:tc>
          <w:tcPr>
            <w:tcW w:w="1463" w:type="dxa"/>
          </w:tcPr>
          <w:p w14:paraId="3CBB0D79" w14:textId="2223CCD0" w:rsidR="00C65596" w:rsidRPr="00262F32" w:rsidRDefault="00C65596" w:rsidP="00C65596">
            <w:pPr>
              <w:pStyle w:val="Akapitzlist"/>
              <w:ind w:left="0"/>
            </w:pPr>
          </w:p>
        </w:tc>
        <w:tc>
          <w:tcPr>
            <w:tcW w:w="1384" w:type="dxa"/>
          </w:tcPr>
          <w:p w14:paraId="6F00BA30" w14:textId="52751304" w:rsidR="00C65596" w:rsidRPr="00262F32" w:rsidRDefault="00C65596" w:rsidP="00C65596">
            <w:pPr>
              <w:pStyle w:val="Akapitzlist"/>
              <w:ind w:left="0"/>
            </w:pPr>
            <w:r w:rsidRPr="00FE566A">
              <w:t>0,15</w:t>
            </w:r>
          </w:p>
        </w:tc>
        <w:tc>
          <w:tcPr>
            <w:tcW w:w="1327" w:type="dxa"/>
          </w:tcPr>
          <w:p w14:paraId="09F3BE79" w14:textId="706756EB" w:rsidR="00C65596" w:rsidRPr="00262F32" w:rsidRDefault="00C65596" w:rsidP="00C65596">
            <w:pPr>
              <w:pStyle w:val="Akapitzlist"/>
              <w:ind w:left="0"/>
            </w:pPr>
            <w:r w:rsidRPr="00FE566A">
              <w:t>0,</w:t>
            </w:r>
            <w:r>
              <w:t>20</w:t>
            </w:r>
          </w:p>
        </w:tc>
        <w:tc>
          <w:tcPr>
            <w:tcW w:w="1102" w:type="dxa"/>
          </w:tcPr>
          <w:p w14:paraId="46A78DF7" w14:textId="477E66BD" w:rsidR="00C65596" w:rsidRPr="0068440D" w:rsidRDefault="00C65596" w:rsidP="00C65596">
            <w:r w:rsidRPr="00FE566A">
              <w:t>1</w:t>
            </w:r>
          </w:p>
        </w:tc>
      </w:tr>
      <w:tr w:rsidR="00C65596" w:rsidRPr="0068440D" w14:paraId="61CB470B" w14:textId="77777777" w:rsidTr="00C65596">
        <w:tc>
          <w:tcPr>
            <w:tcW w:w="1277" w:type="dxa"/>
          </w:tcPr>
          <w:p w14:paraId="42849870" w14:textId="59137761" w:rsidR="00C65596" w:rsidRDefault="00C65596" w:rsidP="00C65596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</w:rPr>
              <w:t>Minimum score</w:t>
            </w:r>
          </w:p>
        </w:tc>
        <w:tc>
          <w:tcPr>
            <w:tcW w:w="1010" w:type="dxa"/>
          </w:tcPr>
          <w:p w14:paraId="73D8CA6A" w14:textId="573833C1" w:rsidR="00C65596" w:rsidRPr="00262F32" w:rsidRDefault="00C65596" w:rsidP="00C65596">
            <w:pPr>
              <w:pStyle w:val="Akapitzlist"/>
              <w:ind w:left="0"/>
            </w:pPr>
            <w:r w:rsidRPr="00FE566A">
              <w:t>0,</w:t>
            </w:r>
            <w:r>
              <w:t>3</w:t>
            </w:r>
            <w:r w:rsidRPr="00FE566A">
              <w:t>5</w:t>
            </w:r>
          </w:p>
        </w:tc>
        <w:tc>
          <w:tcPr>
            <w:tcW w:w="1513" w:type="dxa"/>
          </w:tcPr>
          <w:p w14:paraId="5EDA3A85" w14:textId="22265DD0" w:rsidR="00C65596" w:rsidRPr="00262F32" w:rsidRDefault="00C65596" w:rsidP="00C65596">
            <w:pPr>
              <w:pStyle w:val="Akapitzlist"/>
              <w:ind w:left="0"/>
            </w:pPr>
            <w:r w:rsidRPr="00FE566A">
              <w:t>0,</w:t>
            </w:r>
            <w:r>
              <w:t>6</w:t>
            </w:r>
          </w:p>
        </w:tc>
        <w:tc>
          <w:tcPr>
            <w:tcW w:w="1463" w:type="dxa"/>
          </w:tcPr>
          <w:p w14:paraId="7503DD73" w14:textId="34E9C137" w:rsidR="00C65596" w:rsidRPr="00262F32" w:rsidRDefault="00C65596" w:rsidP="00C65596">
            <w:pPr>
              <w:pStyle w:val="Akapitzlist"/>
              <w:ind w:left="0"/>
            </w:pPr>
          </w:p>
        </w:tc>
        <w:tc>
          <w:tcPr>
            <w:tcW w:w="1384" w:type="dxa"/>
          </w:tcPr>
          <w:p w14:paraId="30537C84" w14:textId="06A62DDB" w:rsidR="00C65596" w:rsidRPr="00262F32" w:rsidRDefault="00C65596" w:rsidP="00C65596">
            <w:pPr>
              <w:pStyle w:val="Akapitzlist"/>
              <w:ind w:left="0"/>
            </w:pPr>
            <w:r w:rsidRPr="00FE566A">
              <w:t>0,15</w:t>
            </w:r>
          </w:p>
        </w:tc>
        <w:tc>
          <w:tcPr>
            <w:tcW w:w="1327" w:type="dxa"/>
          </w:tcPr>
          <w:p w14:paraId="0DDC919F" w14:textId="3039D9FD" w:rsidR="00C65596" w:rsidRPr="00262F32" w:rsidRDefault="00C65596" w:rsidP="00C65596">
            <w:pPr>
              <w:pStyle w:val="Akapitzlist"/>
              <w:ind w:left="0"/>
            </w:pPr>
            <w:r w:rsidRPr="00FE566A">
              <w:t>0,</w:t>
            </w:r>
            <w:r>
              <w:t>2</w:t>
            </w:r>
          </w:p>
        </w:tc>
        <w:tc>
          <w:tcPr>
            <w:tcW w:w="1102" w:type="dxa"/>
          </w:tcPr>
          <w:p w14:paraId="03AE9DB5" w14:textId="366C97ED" w:rsidR="00C65596" w:rsidRPr="0068440D" w:rsidRDefault="00C65596" w:rsidP="00C65596">
            <w:pPr>
              <w:pStyle w:val="Akapitzlist"/>
              <w:ind w:left="0"/>
            </w:pPr>
            <w:r w:rsidRPr="00FE566A">
              <w:t>1</w:t>
            </w:r>
            <w:r>
              <w:t>,3</w:t>
            </w:r>
          </w:p>
        </w:tc>
      </w:tr>
      <w:tr w:rsidR="00C65596" w14:paraId="5439A16D" w14:textId="77777777" w:rsidTr="00C65596">
        <w:tc>
          <w:tcPr>
            <w:tcW w:w="1277" w:type="dxa"/>
          </w:tcPr>
          <w:p w14:paraId="2F29DD6B" w14:textId="1105EF20" w:rsidR="00C65596" w:rsidRDefault="00C65596" w:rsidP="00C65596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1010" w:type="dxa"/>
          </w:tcPr>
          <w:p w14:paraId="74202E54" w14:textId="7F0D30D7" w:rsidR="00C65596" w:rsidRPr="00262F32" w:rsidRDefault="00C65596" w:rsidP="00C65596">
            <w:pPr>
              <w:pStyle w:val="Akapitzlist"/>
              <w:ind w:left="0"/>
            </w:pPr>
            <w:r w:rsidRPr="00FE566A">
              <w:t>1,</w:t>
            </w:r>
            <w:r>
              <w:t>4</w:t>
            </w:r>
          </w:p>
        </w:tc>
        <w:tc>
          <w:tcPr>
            <w:tcW w:w="1513" w:type="dxa"/>
          </w:tcPr>
          <w:p w14:paraId="119E5244" w14:textId="3817AED4" w:rsidR="00C65596" w:rsidRPr="00262F32" w:rsidRDefault="00C65596" w:rsidP="00C65596">
            <w:pPr>
              <w:pStyle w:val="Akapitzlist"/>
              <w:ind w:left="0"/>
            </w:pPr>
            <w:r>
              <w:t>1,2</w:t>
            </w:r>
          </w:p>
        </w:tc>
        <w:tc>
          <w:tcPr>
            <w:tcW w:w="1463" w:type="dxa"/>
          </w:tcPr>
          <w:p w14:paraId="01C6B706" w14:textId="7F9AC544" w:rsidR="00C65596" w:rsidRPr="00262F32" w:rsidRDefault="00C65596" w:rsidP="00C65596">
            <w:pPr>
              <w:pStyle w:val="Akapitzlist"/>
              <w:ind w:left="0"/>
            </w:pPr>
          </w:p>
        </w:tc>
        <w:tc>
          <w:tcPr>
            <w:tcW w:w="1384" w:type="dxa"/>
          </w:tcPr>
          <w:p w14:paraId="3F681D1F" w14:textId="6F8EC221" w:rsidR="00C65596" w:rsidRPr="00262F32" w:rsidRDefault="00C65596" w:rsidP="00C65596">
            <w:pPr>
              <w:pStyle w:val="Akapitzlist"/>
              <w:ind w:left="0"/>
            </w:pPr>
            <w:r w:rsidRPr="00FE566A">
              <w:t>0,6</w:t>
            </w:r>
          </w:p>
        </w:tc>
        <w:tc>
          <w:tcPr>
            <w:tcW w:w="1327" w:type="dxa"/>
          </w:tcPr>
          <w:p w14:paraId="18321418" w14:textId="52BA52B7" w:rsidR="00C65596" w:rsidRPr="00262F32" w:rsidRDefault="00C65596" w:rsidP="00C65596">
            <w:pPr>
              <w:pStyle w:val="Akapitzlist"/>
              <w:ind w:left="0"/>
            </w:pPr>
            <w:r w:rsidRPr="00FE566A">
              <w:t>0,</w:t>
            </w:r>
            <w:r>
              <w:t>8</w:t>
            </w:r>
          </w:p>
        </w:tc>
        <w:tc>
          <w:tcPr>
            <w:tcW w:w="1102" w:type="dxa"/>
          </w:tcPr>
          <w:p w14:paraId="557C31BF" w14:textId="51041185" w:rsidR="00C65596" w:rsidRDefault="00C65596" w:rsidP="00C65596">
            <w:pPr>
              <w:pStyle w:val="Akapitzlist"/>
              <w:ind w:left="0"/>
            </w:pPr>
            <w:r w:rsidRPr="00FE566A">
              <w:t>4</w:t>
            </w:r>
          </w:p>
        </w:tc>
      </w:tr>
    </w:tbl>
    <w:p w14:paraId="4F53A8BF" w14:textId="48868580" w:rsidR="008352A8" w:rsidRDefault="008352A8" w:rsidP="00D11239"/>
    <w:sectPr w:rsidR="00835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FEB9" w14:textId="77777777" w:rsidR="00C4035A" w:rsidRDefault="00C4035A" w:rsidP="009C16B3">
      <w:pPr>
        <w:spacing w:after="0" w:line="240" w:lineRule="auto"/>
      </w:pPr>
      <w:r>
        <w:separator/>
      </w:r>
    </w:p>
  </w:endnote>
  <w:endnote w:type="continuationSeparator" w:id="0">
    <w:p w14:paraId="62FA285E" w14:textId="77777777" w:rsidR="00C4035A" w:rsidRDefault="00C4035A" w:rsidP="009C16B3">
      <w:pPr>
        <w:spacing w:after="0" w:line="240" w:lineRule="auto"/>
      </w:pPr>
      <w:r>
        <w:continuationSeparator/>
      </w:r>
    </w:p>
  </w:endnote>
  <w:endnote w:type="continuationNotice" w:id="1">
    <w:p w14:paraId="35802761" w14:textId="77777777" w:rsidR="00C4035A" w:rsidRDefault="00C40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F573" w14:textId="77777777" w:rsidR="00A86606" w:rsidRDefault="00A86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8E3E89" w14:paraId="5CC7B67E" w14:textId="77777777" w:rsidTr="278E3E89">
      <w:tc>
        <w:tcPr>
          <w:tcW w:w="3020" w:type="dxa"/>
        </w:tcPr>
        <w:p w14:paraId="038B92D0" w14:textId="0B8327AA" w:rsidR="278E3E89" w:rsidRDefault="278E3E89" w:rsidP="278E3E89">
          <w:pPr>
            <w:pStyle w:val="Nagwek"/>
            <w:ind w:left="-115"/>
          </w:pPr>
        </w:p>
      </w:tc>
      <w:tc>
        <w:tcPr>
          <w:tcW w:w="3020" w:type="dxa"/>
        </w:tcPr>
        <w:p w14:paraId="2AACA697" w14:textId="395886F4" w:rsidR="278E3E89" w:rsidRDefault="278E3E89" w:rsidP="278E3E89">
          <w:pPr>
            <w:pStyle w:val="Nagwek"/>
            <w:jc w:val="center"/>
          </w:pPr>
        </w:p>
      </w:tc>
      <w:tc>
        <w:tcPr>
          <w:tcW w:w="3020" w:type="dxa"/>
        </w:tcPr>
        <w:p w14:paraId="102B289B" w14:textId="465B8164" w:rsidR="278E3E89" w:rsidRDefault="278E3E89" w:rsidP="278E3E89">
          <w:pPr>
            <w:pStyle w:val="Nagwek"/>
            <w:ind w:right="-115"/>
            <w:jc w:val="right"/>
          </w:pPr>
        </w:p>
      </w:tc>
    </w:tr>
  </w:tbl>
  <w:p w14:paraId="04874016" w14:textId="38C08CE8" w:rsidR="278E3E89" w:rsidRDefault="278E3E89" w:rsidP="278E3E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6DA5" w14:textId="77777777" w:rsidR="00A86606" w:rsidRDefault="00A86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BBCE" w14:textId="77777777" w:rsidR="00C4035A" w:rsidRDefault="00C4035A" w:rsidP="009C16B3">
      <w:pPr>
        <w:spacing w:after="0" w:line="240" w:lineRule="auto"/>
      </w:pPr>
      <w:r>
        <w:separator/>
      </w:r>
    </w:p>
  </w:footnote>
  <w:footnote w:type="continuationSeparator" w:id="0">
    <w:p w14:paraId="542CB851" w14:textId="77777777" w:rsidR="00C4035A" w:rsidRDefault="00C4035A" w:rsidP="009C16B3">
      <w:pPr>
        <w:spacing w:after="0" w:line="240" w:lineRule="auto"/>
      </w:pPr>
      <w:r>
        <w:continuationSeparator/>
      </w:r>
    </w:p>
  </w:footnote>
  <w:footnote w:type="continuationNotice" w:id="1">
    <w:p w14:paraId="0FB554F3" w14:textId="77777777" w:rsidR="00C4035A" w:rsidRDefault="00C4035A">
      <w:pPr>
        <w:spacing w:after="0" w:line="240" w:lineRule="auto"/>
      </w:pPr>
    </w:p>
  </w:footnote>
  <w:footnote w:id="2">
    <w:p w14:paraId="6092783A" w14:textId="2420E965" w:rsidR="00736995" w:rsidRPr="00482A79" w:rsidRDefault="00736995" w:rsidP="00736995">
      <w:pPr>
        <w:pStyle w:val="Tekstprzypisudolnego"/>
      </w:pPr>
      <w:r>
        <w:rPr>
          <w:rStyle w:val="Odwoanieprzypisudolnego"/>
        </w:rPr>
        <w:footnoteRef/>
      </w:r>
      <w:r w:rsidRPr="00482A79">
        <w:t xml:space="preserve"> </w:t>
      </w:r>
      <w:r w:rsidR="00895F9A">
        <w:t>R</w:t>
      </w:r>
      <w:r w:rsidR="006B69F8" w:rsidRPr="00482A79">
        <w:t>efers to first progres</w:t>
      </w:r>
      <w:r w:rsidR="00482A79" w:rsidRPr="00482A79">
        <w:t>s</w:t>
      </w:r>
      <w:r w:rsidR="006B69F8" w:rsidRPr="00482A79">
        <w:t xml:space="preserve"> reports </w:t>
      </w:r>
      <w:r w:rsidR="00482A79" w:rsidRPr="00482A79">
        <w:t xml:space="preserve">containing only preparatory costs </w:t>
      </w:r>
      <w:r w:rsidR="006B69F8" w:rsidRPr="00482A79">
        <w:t xml:space="preserve">and so called 0-report </w:t>
      </w:r>
      <w:r w:rsidRPr="00482A79">
        <w:t>(</w:t>
      </w:r>
      <w:r w:rsidR="006B69F8" w:rsidRPr="00482A79">
        <w:t xml:space="preserve"> referred to in Chapter</w:t>
      </w:r>
      <w:r w:rsidRPr="00482A79">
        <w:t xml:space="preserve"> 3.1 </w:t>
      </w:r>
      <w:r w:rsidR="006B69F8" w:rsidRPr="00482A79">
        <w:t xml:space="preserve">of </w:t>
      </w:r>
      <w:r w:rsidRPr="00482A79">
        <w:t>Programme Manual)</w:t>
      </w:r>
      <w:r w:rsidR="00626216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64EB" w14:textId="77777777" w:rsidR="00A86606" w:rsidRDefault="00A866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38" w:type="dxa"/>
      <w:tblLayout w:type="fixed"/>
      <w:tblLook w:val="06A0" w:firstRow="1" w:lastRow="0" w:firstColumn="1" w:lastColumn="0" w:noHBand="1" w:noVBand="1"/>
    </w:tblPr>
    <w:tblGrid>
      <w:gridCol w:w="9498"/>
      <w:gridCol w:w="3020"/>
      <w:gridCol w:w="3020"/>
    </w:tblGrid>
    <w:tr w:rsidR="00394364" w14:paraId="4576E544" w14:textId="77777777" w:rsidTr="00394364">
      <w:tc>
        <w:tcPr>
          <w:tcW w:w="9498" w:type="dxa"/>
        </w:tcPr>
        <w:p w14:paraId="2FB8FBF7" w14:textId="614E6A53" w:rsidR="00394364" w:rsidRPr="00CD46D8" w:rsidRDefault="00CE36F3" w:rsidP="00394364">
          <w:pPr>
            <w:pStyle w:val="Nagwek"/>
            <w:ind w:left="-115" w:right="-6021"/>
            <w:rPr>
              <w:b/>
              <w:bCs/>
              <w:i/>
              <w:iCs/>
            </w:rPr>
          </w:pPr>
          <w:r>
            <w:rPr>
              <w:b/>
              <w:i/>
            </w:rPr>
            <w:t>Annex 7</w:t>
          </w:r>
          <w:r w:rsidR="00A86606">
            <w:rPr>
              <w:b/>
              <w:i/>
            </w:rPr>
            <w:t xml:space="preserve"> </w:t>
          </w:r>
          <w:r w:rsidR="00A86606" w:rsidRPr="00A86606">
            <w:rPr>
              <w:b/>
              <w:i/>
            </w:rPr>
            <w:t>Methodology for selecting partner progress reports for full-scope verification</w:t>
          </w:r>
          <w:r w:rsidR="00881FC8">
            <w:rPr>
              <w:b/>
              <w:i/>
            </w:rPr>
            <w:t xml:space="preserve">                                                                                                                                 </w:t>
          </w:r>
          <w:r w:rsidR="00394364">
            <w:rPr>
              <w:b/>
              <w:i/>
            </w:rPr>
            <w:t xml:space="preserve"> </w:t>
          </w:r>
        </w:p>
      </w:tc>
      <w:tc>
        <w:tcPr>
          <w:tcW w:w="3020" w:type="dxa"/>
        </w:tcPr>
        <w:p w14:paraId="66A6FDA8" w14:textId="77777777" w:rsidR="00394364" w:rsidRDefault="00394364" w:rsidP="00394364">
          <w:pPr>
            <w:pStyle w:val="Nagwek"/>
            <w:jc w:val="center"/>
          </w:pPr>
        </w:p>
      </w:tc>
      <w:tc>
        <w:tcPr>
          <w:tcW w:w="3020" w:type="dxa"/>
        </w:tcPr>
        <w:p w14:paraId="2F5E0873" w14:textId="77777777" w:rsidR="00394364" w:rsidRDefault="00394364" w:rsidP="00394364">
          <w:pPr>
            <w:pStyle w:val="Nagwek"/>
            <w:ind w:right="-115"/>
            <w:jc w:val="right"/>
          </w:pPr>
        </w:p>
      </w:tc>
    </w:tr>
  </w:tbl>
  <w:p w14:paraId="29921B06" w14:textId="77777777" w:rsidR="00394364" w:rsidRDefault="003943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9B12" w14:textId="77777777" w:rsidR="00A86606" w:rsidRDefault="00A866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17B"/>
    <w:multiLevelType w:val="hybridMultilevel"/>
    <w:tmpl w:val="04324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DDE"/>
    <w:multiLevelType w:val="hybridMultilevel"/>
    <w:tmpl w:val="10CCB5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D29"/>
    <w:multiLevelType w:val="hybridMultilevel"/>
    <w:tmpl w:val="3F18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5176"/>
    <w:multiLevelType w:val="hybridMultilevel"/>
    <w:tmpl w:val="AD506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EA5"/>
    <w:multiLevelType w:val="hybridMultilevel"/>
    <w:tmpl w:val="86D886E0"/>
    <w:lvl w:ilvl="0" w:tplc="BCC6A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A22E2"/>
    <w:multiLevelType w:val="hybridMultilevel"/>
    <w:tmpl w:val="E334CD4C"/>
    <w:lvl w:ilvl="0" w:tplc="9F9CBD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25B47"/>
    <w:multiLevelType w:val="hybridMultilevel"/>
    <w:tmpl w:val="9936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33FA9"/>
    <w:multiLevelType w:val="hybridMultilevel"/>
    <w:tmpl w:val="ED4862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566D58"/>
    <w:multiLevelType w:val="hybridMultilevel"/>
    <w:tmpl w:val="9B2A3B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8153D"/>
    <w:multiLevelType w:val="hybridMultilevel"/>
    <w:tmpl w:val="AEC41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E92BAF"/>
    <w:multiLevelType w:val="hybridMultilevel"/>
    <w:tmpl w:val="ECD4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26025"/>
    <w:multiLevelType w:val="hybridMultilevel"/>
    <w:tmpl w:val="69A2CD8E"/>
    <w:lvl w:ilvl="0" w:tplc="1D40A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72DFB"/>
    <w:multiLevelType w:val="hybridMultilevel"/>
    <w:tmpl w:val="28F82E70"/>
    <w:lvl w:ilvl="0" w:tplc="37EE12F2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C5BCD"/>
    <w:multiLevelType w:val="hybridMultilevel"/>
    <w:tmpl w:val="3A94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3448A"/>
    <w:multiLevelType w:val="hybridMultilevel"/>
    <w:tmpl w:val="3A08B834"/>
    <w:lvl w:ilvl="0" w:tplc="1D40A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694F"/>
    <w:multiLevelType w:val="hybridMultilevel"/>
    <w:tmpl w:val="78DAB2DA"/>
    <w:lvl w:ilvl="0" w:tplc="1D40A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D1647"/>
    <w:multiLevelType w:val="hybridMultilevel"/>
    <w:tmpl w:val="8F869EA8"/>
    <w:lvl w:ilvl="0" w:tplc="6B368B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948F0"/>
    <w:multiLevelType w:val="hybridMultilevel"/>
    <w:tmpl w:val="ADAAC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95CA7"/>
    <w:multiLevelType w:val="hybridMultilevel"/>
    <w:tmpl w:val="20A0E4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0"/>
  </w:num>
  <w:num w:numId="5">
    <w:abstractNumId w:val="11"/>
  </w:num>
  <w:num w:numId="6">
    <w:abstractNumId w:val="13"/>
  </w:num>
  <w:num w:numId="7">
    <w:abstractNumId w:val="1"/>
  </w:num>
  <w:num w:numId="8">
    <w:abstractNumId w:val="16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  <w:num w:numId="13">
    <w:abstractNumId w:val="18"/>
  </w:num>
  <w:num w:numId="14">
    <w:abstractNumId w:val="17"/>
  </w:num>
  <w:num w:numId="15">
    <w:abstractNumId w:val="15"/>
  </w:num>
  <w:num w:numId="16">
    <w:abstractNumId w:val="8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07"/>
    <w:rsid w:val="000054B2"/>
    <w:rsid w:val="00014C60"/>
    <w:rsid w:val="00020F35"/>
    <w:rsid w:val="000246C3"/>
    <w:rsid w:val="00026C9C"/>
    <w:rsid w:val="000272CE"/>
    <w:rsid w:val="0006218C"/>
    <w:rsid w:val="0006341A"/>
    <w:rsid w:val="000676E2"/>
    <w:rsid w:val="00077168"/>
    <w:rsid w:val="00084B3E"/>
    <w:rsid w:val="00087B77"/>
    <w:rsid w:val="000B6053"/>
    <w:rsid w:val="000F2D4F"/>
    <w:rsid w:val="000F52A6"/>
    <w:rsid w:val="00116220"/>
    <w:rsid w:val="0013139C"/>
    <w:rsid w:val="00131C91"/>
    <w:rsid w:val="001570A2"/>
    <w:rsid w:val="0017194B"/>
    <w:rsid w:val="00195639"/>
    <w:rsid w:val="001A09AE"/>
    <w:rsid w:val="001B0FE2"/>
    <w:rsid w:val="001B49DE"/>
    <w:rsid w:val="001D60B4"/>
    <w:rsid w:val="001F560C"/>
    <w:rsid w:val="001F7628"/>
    <w:rsid w:val="00203450"/>
    <w:rsid w:val="002118A5"/>
    <w:rsid w:val="00222748"/>
    <w:rsid w:val="00227C61"/>
    <w:rsid w:val="00231A96"/>
    <w:rsid w:val="0024199D"/>
    <w:rsid w:val="002514DD"/>
    <w:rsid w:val="0025560A"/>
    <w:rsid w:val="00255930"/>
    <w:rsid w:val="00262F32"/>
    <w:rsid w:val="00267F18"/>
    <w:rsid w:val="00277D75"/>
    <w:rsid w:val="0028241E"/>
    <w:rsid w:val="00285B3A"/>
    <w:rsid w:val="00291780"/>
    <w:rsid w:val="00296B52"/>
    <w:rsid w:val="002B3E10"/>
    <w:rsid w:val="002D17B5"/>
    <w:rsid w:val="002D1D27"/>
    <w:rsid w:val="002D25F5"/>
    <w:rsid w:val="002E6EC2"/>
    <w:rsid w:val="002F645B"/>
    <w:rsid w:val="003029C8"/>
    <w:rsid w:val="003107CD"/>
    <w:rsid w:val="00310973"/>
    <w:rsid w:val="00331FCE"/>
    <w:rsid w:val="00332179"/>
    <w:rsid w:val="00332D43"/>
    <w:rsid w:val="003333BC"/>
    <w:rsid w:val="003563BC"/>
    <w:rsid w:val="003830B6"/>
    <w:rsid w:val="00387648"/>
    <w:rsid w:val="003922C2"/>
    <w:rsid w:val="00394364"/>
    <w:rsid w:val="003B6D9A"/>
    <w:rsid w:val="003C3763"/>
    <w:rsid w:val="003D6218"/>
    <w:rsid w:val="003F1A56"/>
    <w:rsid w:val="0041156B"/>
    <w:rsid w:val="00412FF7"/>
    <w:rsid w:val="00413D9C"/>
    <w:rsid w:val="00415DD6"/>
    <w:rsid w:val="00426298"/>
    <w:rsid w:val="00426F76"/>
    <w:rsid w:val="00432C57"/>
    <w:rsid w:val="00441B9F"/>
    <w:rsid w:val="00444E3E"/>
    <w:rsid w:val="00453621"/>
    <w:rsid w:val="00453A6C"/>
    <w:rsid w:val="00481EAE"/>
    <w:rsid w:val="00482A79"/>
    <w:rsid w:val="0048312F"/>
    <w:rsid w:val="00487F4A"/>
    <w:rsid w:val="00497440"/>
    <w:rsid w:val="004A594C"/>
    <w:rsid w:val="004B449D"/>
    <w:rsid w:val="004F090A"/>
    <w:rsid w:val="00505A20"/>
    <w:rsid w:val="005065B2"/>
    <w:rsid w:val="00522757"/>
    <w:rsid w:val="00524605"/>
    <w:rsid w:val="005273CB"/>
    <w:rsid w:val="005351B1"/>
    <w:rsid w:val="00536DFA"/>
    <w:rsid w:val="00550D2B"/>
    <w:rsid w:val="00561970"/>
    <w:rsid w:val="00580BB7"/>
    <w:rsid w:val="0058724A"/>
    <w:rsid w:val="00592C69"/>
    <w:rsid w:val="0059598A"/>
    <w:rsid w:val="00597D2F"/>
    <w:rsid w:val="005A117B"/>
    <w:rsid w:val="005B4E01"/>
    <w:rsid w:val="005B63DF"/>
    <w:rsid w:val="005D5133"/>
    <w:rsid w:val="006234EF"/>
    <w:rsid w:val="00626216"/>
    <w:rsid w:val="00633F3D"/>
    <w:rsid w:val="006474C5"/>
    <w:rsid w:val="00652F0F"/>
    <w:rsid w:val="006608FF"/>
    <w:rsid w:val="006738EF"/>
    <w:rsid w:val="006762CD"/>
    <w:rsid w:val="00677653"/>
    <w:rsid w:val="0068440D"/>
    <w:rsid w:val="0068496E"/>
    <w:rsid w:val="00686828"/>
    <w:rsid w:val="00690085"/>
    <w:rsid w:val="00690561"/>
    <w:rsid w:val="006961AE"/>
    <w:rsid w:val="006B69F8"/>
    <w:rsid w:val="006C524B"/>
    <w:rsid w:val="006D1B13"/>
    <w:rsid w:val="006D3A67"/>
    <w:rsid w:val="006F1797"/>
    <w:rsid w:val="00701A12"/>
    <w:rsid w:val="007063DD"/>
    <w:rsid w:val="0071594A"/>
    <w:rsid w:val="0072392C"/>
    <w:rsid w:val="007315F0"/>
    <w:rsid w:val="00736367"/>
    <w:rsid w:val="00736995"/>
    <w:rsid w:val="0075655B"/>
    <w:rsid w:val="007601C9"/>
    <w:rsid w:val="007610F9"/>
    <w:rsid w:val="00771888"/>
    <w:rsid w:val="0077632E"/>
    <w:rsid w:val="00785406"/>
    <w:rsid w:val="00787AF8"/>
    <w:rsid w:val="00794F64"/>
    <w:rsid w:val="00797B51"/>
    <w:rsid w:val="00797D22"/>
    <w:rsid w:val="007A1299"/>
    <w:rsid w:val="007A6CA7"/>
    <w:rsid w:val="007E0A7E"/>
    <w:rsid w:val="007E3B70"/>
    <w:rsid w:val="007F199F"/>
    <w:rsid w:val="007F664C"/>
    <w:rsid w:val="007F7207"/>
    <w:rsid w:val="00813431"/>
    <w:rsid w:val="00815FE1"/>
    <w:rsid w:val="00816BBA"/>
    <w:rsid w:val="00830E4F"/>
    <w:rsid w:val="008352A8"/>
    <w:rsid w:val="008357FF"/>
    <w:rsid w:val="008478E6"/>
    <w:rsid w:val="00852E1D"/>
    <w:rsid w:val="00860BD2"/>
    <w:rsid w:val="00870C77"/>
    <w:rsid w:val="008761E3"/>
    <w:rsid w:val="00881FC8"/>
    <w:rsid w:val="00885909"/>
    <w:rsid w:val="00885DF0"/>
    <w:rsid w:val="00886AC7"/>
    <w:rsid w:val="00895F9A"/>
    <w:rsid w:val="008A78F7"/>
    <w:rsid w:val="008B0009"/>
    <w:rsid w:val="008B0B51"/>
    <w:rsid w:val="008B5FEE"/>
    <w:rsid w:val="008C096D"/>
    <w:rsid w:val="008C4A1B"/>
    <w:rsid w:val="008C59BE"/>
    <w:rsid w:val="008D22F1"/>
    <w:rsid w:val="008D5D79"/>
    <w:rsid w:val="008E2F9A"/>
    <w:rsid w:val="008F0BE3"/>
    <w:rsid w:val="008F24EE"/>
    <w:rsid w:val="008F75C3"/>
    <w:rsid w:val="00903FBC"/>
    <w:rsid w:val="00913D07"/>
    <w:rsid w:val="00922C2C"/>
    <w:rsid w:val="0092335F"/>
    <w:rsid w:val="00923BC7"/>
    <w:rsid w:val="0092404B"/>
    <w:rsid w:val="0092766D"/>
    <w:rsid w:val="00936152"/>
    <w:rsid w:val="00936C4C"/>
    <w:rsid w:val="00937865"/>
    <w:rsid w:val="00942E14"/>
    <w:rsid w:val="00946291"/>
    <w:rsid w:val="009462EF"/>
    <w:rsid w:val="009513BD"/>
    <w:rsid w:val="00984A5D"/>
    <w:rsid w:val="00984F69"/>
    <w:rsid w:val="00985F9A"/>
    <w:rsid w:val="0099745C"/>
    <w:rsid w:val="009A3B0E"/>
    <w:rsid w:val="009A57AB"/>
    <w:rsid w:val="009B1E9A"/>
    <w:rsid w:val="009B7A85"/>
    <w:rsid w:val="009C16B3"/>
    <w:rsid w:val="009D0CAA"/>
    <w:rsid w:val="009E3590"/>
    <w:rsid w:val="009F09F2"/>
    <w:rsid w:val="009F600F"/>
    <w:rsid w:val="00A01546"/>
    <w:rsid w:val="00A045D3"/>
    <w:rsid w:val="00A363C1"/>
    <w:rsid w:val="00A363C5"/>
    <w:rsid w:val="00A502A7"/>
    <w:rsid w:val="00A55060"/>
    <w:rsid w:val="00A67EAB"/>
    <w:rsid w:val="00A70195"/>
    <w:rsid w:val="00A73462"/>
    <w:rsid w:val="00A7482A"/>
    <w:rsid w:val="00A83563"/>
    <w:rsid w:val="00A86606"/>
    <w:rsid w:val="00A91A61"/>
    <w:rsid w:val="00A96B59"/>
    <w:rsid w:val="00AA5C79"/>
    <w:rsid w:val="00AA6FDE"/>
    <w:rsid w:val="00AA7DC7"/>
    <w:rsid w:val="00AB05B5"/>
    <w:rsid w:val="00AB1241"/>
    <w:rsid w:val="00AB4CE4"/>
    <w:rsid w:val="00AB6E60"/>
    <w:rsid w:val="00AC5C1E"/>
    <w:rsid w:val="00AD4803"/>
    <w:rsid w:val="00AD79DF"/>
    <w:rsid w:val="00AE3454"/>
    <w:rsid w:val="00AE52B3"/>
    <w:rsid w:val="00AE711D"/>
    <w:rsid w:val="00AE7AEC"/>
    <w:rsid w:val="00AF12D6"/>
    <w:rsid w:val="00AF566F"/>
    <w:rsid w:val="00B10146"/>
    <w:rsid w:val="00B12ED6"/>
    <w:rsid w:val="00B22E1B"/>
    <w:rsid w:val="00B27E20"/>
    <w:rsid w:val="00B45FB9"/>
    <w:rsid w:val="00B647F7"/>
    <w:rsid w:val="00B66F6E"/>
    <w:rsid w:val="00B74F46"/>
    <w:rsid w:val="00B81480"/>
    <w:rsid w:val="00B95392"/>
    <w:rsid w:val="00BA3498"/>
    <w:rsid w:val="00BB02AA"/>
    <w:rsid w:val="00BB1F46"/>
    <w:rsid w:val="00BB3B8B"/>
    <w:rsid w:val="00BB7817"/>
    <w:rsid w:val="00BD78ED"/>
    <w:rsid w:val="00BE0161"/>
    <w:rsid w:val="00BE28B2"/>
    <w:rsid w:val="00BE7F69"/>
    <w:rsid w:val="00BF04C1"/>
    <w:rsid w:val="00BF2A86"/>
    <w:rsid w:val="00C037CE"/>
    <w:rsid w:val="00C04E83"/>
    <w:rsid w:val="00C1625C"/>
    <w:rsid w:val="00C3033C"/>
    <w:rsid w:val="00C304BC"/>
    <w:rsid w:val="00C31C07"/>
    <w:rsid w:val="00C32E59"/>
    <w:rsid w:val="00C3502A"/>
    <w:rsid w:val="00C4035A"/>
    <w:rsid w:val="00C50BDE"/>
    <w:rsid w:val="00C610E4"/>
    <w:rsid w:val="00C65596"/>
    <w:rsid w:val="00C66F79"/>
    <w:rsid w:val="00C8704F"/>
    <w:rsid w:val="00CA1A5A"/>
    <w:rsid w:val="00CA3834"/>
    <w:rsid w:val="00CB6C09"/>
    <w:rsid w:val="00CC323F"/>
    <w:rsid w:val="00CD0C32"/>
    <w:rsid w:val="00CD46D8"/>
    <w:rsid w:val="00CD5853"/>
    <w:rsid w:val="00CD63D2"/>
    <w:rsid w:val="00CE36F3"/>
    <w:rsid w:val="00CE4B83"/>
    <w:rsid w:val="00CE7014"/>
    <w:rsid w:val="00D11239"/>
    <w:rsid w:val="00D2254E"/>
    <w:rsid w:val="00D22FE3"/>
    <w:rsid w:val="00D33CE6"/>
    <w:rsid w:val="00D402F8"/>
    <w:rsid w:val="00D42338"/>
    <w:rsid w:val="00D449DA"/>
    <w:rsid w:val="00D47130"/>
    <w:rsid w:val="00D51231"/>
    <w:rsid w:val="00D5255C"/>
    <w:rsid w:val="00D70FFF"/>
    <w:rsid w:val="00D85AD3"/>
    <w:rsid w:val="00D87849"/>
    <w:rsid w:val="00D918DD"/>
    <w:rsid w:val="00DC2ADC"/>
    <w:rsid w:val="00DC2F5F"/>
    <w:rsid w:val="00DC5160"/>
    <w:rsid w:val="00DD46F8"/>
    <w:rsid w:val="00DE4085"/>
    <w:rsid w:val="00DF7A91"/>
    <w:rsid w:val="00E07F56"/>
    <w:rsid w:val="00E41CA3"/>
    <w:rsid w:val="00E54E1C"/>
    <w:rsid w:val="00E55824"/>
    <w:rsid w:val="00E633B8"/>
    <w:rsid w:val="00E637A1"/>
    <w:rsid w:val="00E64CAB"/>
    <w:rsid w:val="00E655EB"/>
    <w:rsid w:val="00E65BC0"/>
    <w:rsid w:val="00E66A36"/>
    <w:rsid w:val="00E67E0F"/>
    <w:rsid w:val="00E96C6B"/>
    <w:rsid w:val="00EA04C5"/>
    <w:rsid w:val="00EA3DFD"/>
    <w:rsid w:val="00ED16C3"/>
    <w:rsid w:val="00EF14E9"/>
    <w:rsid w:val="00EF2C5B"/>
    <w:rsid w:val="00EF581F"/>
    <w:rsid w:val="00F025CF"/>
    <w:rsid w:val="00F168CB"/>
    <w:rsid w:val="00F21295"/>
    <w:rsid w:val="00F2158B"/>
    <w:rsid w:val="00F36AB8"/>
    <w:rsid w:val="00F529DC"/>
    <w:rsid w:val="00F539D1"/>
    <w:rsid w:val="00F62B74"/>
    <w:rsid w:val="00F74D5C"/>
    <w:rsid w:val="00F86231"/>
    <w:rsid w:val="00FB15D6"/>
    <w:rsid w:val="00FB3AD0"/>
    <w:rsid w:val="00FC1F67"/>
    <w:rsid w:val="00FC6C21"/>
    <w:rsid w:val="00FE27B0"/>
    <w:rsid w:val="00FE6155"/>
    <w:rsid w:val="023BFB24"/>
    <w:rsid w:val="0257A89D"/>
    <w:rsid w:val="02CD4C6E"/>
    <w:rsid w:val="030FC22A"/>
    <w:rsid w:val="040BD265"/>
    <w:rsid w:val="05C64ECD"/>
    <w:rsid w:val="06A433C1"/>
    <w:rsid w:val="075BB849"/>
    <w:rsid w:val="07621F2E"/>
    <w:rsid w:val="07C058C0"/>
    <w:rsid w:val="096FA439"/>
    <w:rsid w:val="0AFEF302"/>
    <w:rsid w:val="0B96487A"/>
    <w:rsid w:val="0DEDCA83"/>
    <w:rsid w:val="0E4FDB11"/>
    <w:rsid w:val="0F1D3A4D"/>
    <w:rsid w:val="0F2D23C0"/>
    <w:rsid w:val="0F6482E2"/>
    <w:rsid w:val="12333515"/>
    <w:rsid w:val="1488A4CA"/>
    <w:rsid w:val="15BCE355"/>
    <w:rsid w:val="1758B3B6"/>
    <w:rsid w:val="18002AA7"/>
    <w:rsid w:val="1843AB9D"/>
    <w:rsid w:val="19C4005C"/>
    <w:rsid w:val="1A413821"/>
    <w:rsid w:val="1A7BC60F"/>
    <w:rsid w:val="1A95420E"/>
    <w:rsid w:val="1B040B15"/>
    <w:rsid w:val="1D442092"/>
    <w:rsid w:val="1E086D1D"/>
    <w:rsid w:val="1F2058A4"/>
    <w:rsid w:val="218DE490"/>
    <w:rsid w:val="21C9FD6D"/>
    <w:rsid w:val="22434EAD"/>
    <w:rsid w:val="232684D4"/>
    <w:rsid w:val="24175969"/>
    <w:rsid w:val="256E5D09"/>
    <w:rsid w:val="270A2D6A"/>
    <w:rsid w:val="278E3E89"/>
    <w:rsid w:val="27ABDE9B"/>
    <w:rsid w:val="2BC3B957"/>
    <w:rsid w:val="2EB9BCDE"/>
    <w:rsid w:val="32760AB6"/>
    <w:rsid w:val="328AA2A0"/>
    <w:rsid w:val="34CFC10C"/>
    <w:rsid w:val="350DF8DB"/>
    <w:rsid w:val="35BBB2DB"/>
    <w:rsid w:val="37497BD9"/>
    <w:rsid w:val="386D06E2"/>
    <w:rsid w:val="39B707C5"/>
    <w:rsid w:val="39C44B6E"/>
    <w:rsid w:val="3DA1F2E0"/>
    <w:rsid w:val="3E67CE19"/>
    <w:rsid w:val="3EB2DE69"/>
    <w:rsid w:val="420E65AC"/>
    <w:rsid w:val="4378EF63"/>
    <w:rsid w:val="43E9F238"/>
    <w:rsid w:val="44E52368"/>
    <w:rsid w:val="4723E1CE"/>
    <w:rsid w:val="48A227D7"/>
    <w:rsid w:val="4A6E70C4"/>
    <w:rsid w:val="4A8EFDA0"/>
    <w:rsid w:val="4DE2B64C"/>
    <w:rsid w:val="4E477594"/>
    <w:rsid w:val="521C55E3"/>
    <w:rsid w:val="54236274"/>
    <w:rsid w:val="5466DF41"/>
    <w:rsid w:val="54F81CCC"/>
    <w:rsid w:val="56935083"/>
    <w:rsid w:val="56FAD4AE"/>
    <w:rsid w:val="58F7EAC6"/>
    <w:rsid w:val="5D5B20B2"/>
    <w:rsid w:val="5F53EC07"/>
    <w:rsid w:val="60F4E539"/>
    <w:rsid w:val="615F7B32"/>
    <w:rsid w:val="6167B8CB"/>
    <w:rsid w:val="637CDDA5"/>
    <w:rsid w:val="64D4C868"/>
    <w:rsid w:val="64D5F4A3"/>
    <w:rsid w:val="65E1B2BD"/>
    <w:rsid w:val="66D93D78"/>
    <w:rsid w:val="66E88352"/>
    <w:rsid w:val="6B30BC10"/>
    <w:rsid w:val="6B99FE7E"/>
    <w:rsid w:val="6C6ACFAE"/>
    <w:rsid w:val="706E603E"/>
    <w:rsid w:val="70AF5BC0"/>
    <w:rsid w:val="71EE3BC5"/>
    <w:rsid w:val="737AA35B"/>
    <w:rsid w:val="75A83D7C"/>
    <w:rsid w:val="75C586C8"/>
    <w:rsid w:val="77615729"/>
    <w:rsid w:val="778585AD"/>
    <w:rsid w:val="77EC3C42"/>
    <w:rsid w:val="78FD278A"/>
    <w:rsid w:val="791E086E"/>
    <w:rsid w:val="7987B4C7"/>
    <w:rsid w:val="7A98F7EB"/>
    <w:rsid w:val="7B8C85DF"/>
    <w:rsid w:val="7C17FEBC"/>
    <w:rsid w:val="7C92FBB2"/>
    <w:rsid w:val="7D0CB34A"/>
    <w:rsid w:val="7F6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32B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6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6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6B3"/>
    <w:rPr>
      <w:vertAlign w:val="superscript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B814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1B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B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B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B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B9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8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kapitzlistZnak">
    <w:name w:val="Akapit z listą Znak"/>
    <w:aliases w:val="Punkt 1.1 Znak"/>
    <w:link w:val="Akapitzlist"/>
    <w:uiPriority w:val="34"/>
    <w:rsid w:val="00277D75"/>
  </w:style>
  <w:style w:type="paragraph" w:styleId="Poprawka">
    <w:name w:val="Revision"/>
    <w:hidden/>
    <w:uiPriority w:val="99"/>
    <w:semiHidden/>
    <w:rsid w:val="007F1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9D666DF9D85048B8AFE5549371DD1B" ma:contentTypeVersion="6" ma:contentTypeDescription="Utwórz nowy dokument." ma:contentTypeScope="" ma:versionID="9f76542837a54bb0a445fc5f00b15e84">
  <xsd:schema xmlns:xsd="http://www.w3.org/2001/XMLSchema" xmlns:xs="http://www.w3.org/2001/XMLSchema" xmlns:p="http://schemas.microsoft.com/office/2006/metadata/properties" xmlns:ns2="1fc9f9fe-bd5d-4cc9-a90a-b71a252ec609" xmlns:ns3="39e1b3c8-75cb-4e1e-a2d8-b144ba3dc88c" targetNamespace="http://schemas.microsoft.com/office/2006/metadata/properties" ma:root="true" ma:fieldsID="98c1fbc24a28592c119b62d1f158e052" ns2:_="" ns3:_="">
    <xsd:import namespace="1fc9f9fe-bd5d-4cc9-a90a-b71a252ec609"/>
    <xsd:import namespace="39e1b3c8-75cb-4e1e-a2d8-b144ba3dc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f9fe-bd5d-4cc9-a90a-b71a252ec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1b3c8-75cb-4e1e-a2d8-b144ba3dc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1575-6097-4B72-97F8-69840E650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9CA64-3EA6-455B-B617-37D8A2BE1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3D357-C512-44D7-80F0-1225DD2A2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9f9fe-bd5d-4cc9-a90a-b71a252ec609"/>
    <ds:schemaRef ds:uri="39e1b3c8-75cb-4e1e-a2d8-b144ba3dc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2025-11-17T15:55:00Z</dcterms:created>
  <dcterms:modified xsi:type="dcterms:W3CDTF">2026-04-08T06:28:00Z</dcterms:modified>
</cp:coreProperties>
</file>