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17E45D8D"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56382A">
                              <w:rPr>
                                <w:rFonts w:eastAsiaTheme="majorEastAsia" w:cs="Open Sans"/>
                                <w:b/>
                                <w:color w:val="003399"/>
                                <w:sz w:val="28"/>
                                <w:szCs w:val="28"/>
                                <w:lang w:val="en-US"/>
                              </w:rPr>
                              <w:t>6</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17E45D8D"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56382A">
                        <w:rPr>
                          <w:rFonts w:eastAsiaTheme="majorEastAsia" w:cs="Open Sans"/>
                          <w:b/>
                          <w:color w:val="003399"/>
                          <w:sz w:val="28"/>
                          <w:szCs w:val="28"/>
                          <w:lang w:val="en-US"/>
                        </w:rPr>
                        <w:t>6</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73" w:history="1">
            <w:r w:rsidRPr="004A26C0">
              <w:rPr>
                <w:rStyle w:val="Hyperlink"/>
                <w:rFonts w:ascii="Open Sans" w:eastAsia="Open Sans SemiBold" w:hAnsi="Open Sans" w:cs="Open Sans"/>
                <w:lang w:val="en-US"/>
              </w:rPr>
              <w:t>ANNEX 2 Additional obligation, eligibility rules and guidance for Polish partners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61E8A515" w14:textId="5A81779E" w:rsidR="002A7EC9" w:rsidRPr="004A26C0" w:rsidRDefault="002A7EC9">
          <w:pPr>
            <w:pStyle w:val="TOC3"/>
            <w:rPr>
              <w:rFonts w:ascii="Open Sans" w:eastAsiaTheme="minorEastAsia" w:hAnsi="Open Sans" w:cs="Open Sans"/>
              <w:kern w:val="2"/>
              <w:sz w:val="22"/>
              <w:lang w:val="en-US"/>
              <w14:ligatures w14:val="standardContextual"/>
            </w:rPr>
          </w:pPr>
          <w:hyperlink w:anchor="_Toc147386474" w:history="1">
            <w:r w:rsidRPr="004A26C0">
              <w:rPr>
                <w:rStyle w:val="Hyperlink"/>
                <w:rFonts w:ascii="Open Sans" w:eastAsia="Open Sans SemiBold" w:hAnsi="Open Sans" w:cs="Open Sans"/>
                <w:bCs/>
                <w:lang w:val="en-US"/>
              </w:rPr>
              <w:t>1 General rules and assessment of eligibility of expenditures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35120945" w14:textId="50FC7A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5" w:history="1">
            <w:r w:rsidRPr="004A26C0">
              <w:rPr>
                <w:rStyle w:val="Hyperlink"/>
                <w:rFonts w:ascii="Open Sans" w:eastAsia="Open Sans SemiBold" w:hAnsi="Open Sans" w:cs="Open Sans"/>
                <w:bCs/>
                <w:lang w:val="en-US"/>
              </w:rPr>
              <w:t>2 Staff costs eligibility assessment if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w:t>
            </w:r>
            <w:r w:rsidRPr="004A26C0">
              <w:rPr>
                <w:rFonts w:ascii="Open Sans" w:hAnsi="Open Sans" w:cs="Open Sans"/>
                <w:webHidden/>
              </w:rPr>
              <w:fldChar w:fldCharType="end"/>
            </w:r>
          </w:hyperlink>
        </w:p>
        <w:p w14:paraId="0FFA7276" w14:textId="5A4ED0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6" w:history="1">
            <w:r w:rsidRPr="004A26C0">
              <w:rPr>
                <w:rStyle w:val="Hyperlink"/>
                <w:rFonts w:ascii="Open Sans" w:eastAsia="Open Sans SemiBold" w:hAnsi="Open Sans" w:cs="Open Sans"/>
                <w:bCs/>
                <w:lang w:val="en-US"/>
              </w:rPr>
              <w:t>3 Travel and accommodation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1605DCE8" w14:textId="45F44928" w:rsidR="002A7EC9" w:rsidRPr="004A26C0" w:rsidRDefault="002A7EC9">
          <w:pPr>
            <w:pStyle w:val="TOC3"/>
            <w:rPr>
              <w:rFonts w:ascii="Open Sans" w:eastAsiaTheme="minorEastAsia" w:hAnsi="Open Sans" w:cs="Open Sans"/>
              <w:kern w:val="2"/>
              <w:sz w:val="22"/>
              <w:lang w:val="en-US"/>
              <w14:ligatures w14:val="standardContextual"/>
            </w:rPr>
          </w:pPr>
          <w:hyperlink w:anchor="_Toc147386477" w:history="1">
            <w:r w:rsidRPr="004A26C0">
              <w:rPr>
                <w:rStyle w:val="Hyperlink"/>
                <w:rFonts w:ascii="Open Sans" w:eastAsia="Open Sans SemiBold" w:hAnsi="Open Sans" w:cs="Open Sans"/>
                <w:bCs/>
                <w:lang w:val="en-US"/>
              </w:rPr>
              <w:t>4 Equipment lease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79F8610E" w14:textId="50610E93" w:rsidR="002A7EC9" w:rsidRPr="004A26C0" w:rsidRDefault="002A7EC9">
          <w:pPr>
            <w:pStyle w:val="TOC3"/>
            <w:rPr>
              <w:rFonts w:ascii="Open Sans" w:eastAsiaTheme="minorEastAsia" w:hAnsi="Open Sans" w:cs="Open Sans"/>
              <w:kern w:val="2"/>
              <w:sz w:val="22"/>
              <w:lang w:val="en-US"/>
              <w14:ligatures w14:val="standardContextual"/>
            </w:rPr>
          </w:pPr>
          <w:hyperlink w:anchor="_Toc147386478" w:history="1">
            <w:r w:rsidRPr="004A26C0">
              <w:rPr>
                <w:rStyle w:val="Hyperlink"/>
                <w:rFonts w:ascii="Open Sans" w:eastAsia="Open Sans SemiBold" w:hAnsi="Open Sans" w:cs="Open Sans"/>
                <w:bCs/>
                <w:lang w:val="en-US"/>
              </w:rPr>
              <w:t>5 VAT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48B05FCE" w14:textId="029BA1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9" w:history="1">
            <w:r w:rsidRPr="004A26C0">
              <w:rPr>
                <w:rStyle w:val="Hyperlink"/>
                <w:rFonts w:ascii="Open Sans" w:eastAsia="Open Sans SemiBold" w:hAnsi="Open Sans" w:cs="Open Sans"/>
                <w:bCs/>
                <w:lang w:val="en-US"/>
              </w:rPr>
              <w:t>6 Contractual penalties relating to project expenditure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31583648" w14:textId="2AF84970" w:rsidR="002A7EC9" w:rsidRPr="004A26C0" w:rsidRDefault="002A7EC9">
          <w:pPr>
            <w:pStyle w:val="TOC3"/>
            <w:rPr>
              <w:rFonts w:ascii="Open Sans" w:eastAsiaTheme="minorEastAsia" w:hAnsi="Open Sans" w:cs="Open Sans"/>
              <w:kern w:val="2"/>
              <w:sz w:val="22"/>
              <w:lang w:val="en-US"/>
              <w14:ligatures w14:val="standardContextual"/>
            </w:rPr>
          </w:pPr>
          <w:hyperlink w:anchor="_Toc147386480" w:history="1">
            <w:r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15</w:t>
            </w:r>
            <w:r w:rsidRPr="004A26C0">
              <w:rPr>
                <w:rFonts w:ascii="Open Sans" w:hAnsi="Open Sans" w:cs="Open Sans"/>
                <w:webHidden/>
              </w:rPr>
              <w:fldChar w:fldCharType="end"/>
            </w:r>
          </w:hyperlink>
        </w:p>
        <w:p w14:paraId="202736D5" w14:textId="65DC605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1" w:history="1">
            <w:r w:rsidRPr="004A26C0">
              <w:rPr>
                <w:rStyle w:val="Hyperlink"/>
                <w:rFonts w:ascii="Open Sans" w:eastAsia="Open Sans SemiBold" w:hAnsi="Open Sans" w:cs="Open Sans"/>
                <w:lang w:val="en-US"/>
              </w:rPr>
              <w:t>ANNEX 3 Specific rules of awarding contracts under the project – for Polish beneficiaries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B6F5895" w14:textId="0B558B7F" w:rsidR="002A7EC9" w:rsidRPr="004A26C0" w:rsidRDefault="002A7EC9">
          <w:pPr>
            <w:pStyle w:val="TOC3"/>
            <w:rPr>
              <w:rFonts w:ascii="Open Sans" w:eastAsiaTheme="minorEastAsia" w:hAnsi="Open Sans" w:cs="Open Sans"/>
              <w:kern w:val="2"/>
              <w:sz w:val="22"/>
              <w:lang w:val="en-US"/>
              <w14:ligatures w14:val="standardContextual"/>
            </w:rPr>
          </w:pPr>
          <w:hyperlink w:anchor="_Toc147386482" w:history="1">
            <w:r w:rsidRPr="004A26C0">
              <w:rPr>
                <w:rStyle w:val="Hyperlink"/>
                <w:rFonts w:ascii="Open Sans" w:eastAsia="Open Sans SemiBold" w:hAnsi="Open Sans" w:cs="Open Sans"/>
                <w:bCs/>
                <w:lang w:val="en-US"/>
              </w:rPr>
              <w:t>1 The competition rule in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9A5FF62" w14:textId="59F6893C" w:rsidR="002A7EC9" w:rsidRPr="004A26C0" w:rsidRDefault="002A7EC9">
          <w:pPr>
            <w:pStyle w:val="TOC3"/>
            <w:rPr>
              <w:rFonts w:ascii="Open Sans" w:eastAsiaTheme="minorEastAsia" w:hAnsi="Open Sans" w:cs="Open Sans"/>
              <w:kern w:val="2"/>
              <w:sz w:val="22"/>
              <w:lang w:val="en-US"/>
              <w14:ligatures w14:val="standardContextual"/>
            </w:rPr>
          </w:pPr>
          <w:hyperlink w:anchor="_Toc147386483" w:history="1">
            <w:r w:rsidRPr="004A26C0">
              <w:rPr>
                <w:rStyle w:val="Hyperlink"/>
                <w:rFonts w:ascii="Open Sans" w:eastAsia="Open Sans SemiBold" w:hAnsi="Open Sans" w:cs="Open Sans"/>
                <w:bCs/>
                <w:lang w:val="en-US"/>
              </w:rPr>
              <w:t>2 Exclusion from application of the competition rule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0430F5F" w14:textId="76239A0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4" w:history="1">
            <w:r w:rsidRPr="004A26C0">
              <w:rPr>
                <w:rStyle w:val="Hyperlink"/>
                <w:rFonts w:ascii="Open Sans" w:eastAsia="Open Sans SemiBold" w:hAnsi="Open Sans" w:cs="Open Sans"/>
                <w:bCs/>
                <w:lang w:val="en-US"/>
              </w:rPr>
              <w:t>3 Procurement procedure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20</w:t>
            </w:r>
            <w:r w:rsidRPr="004A26C0">
              <w:rPr>
                <w:rFonts w:ascii="Open Sans" w:hAnsi="Open Sans" w:cs="Open Sans"/>
                <w:webHidden/>
              </w:rPr>
              <w:fldChar w:fldCharType="end"/>
            </w:r>
          </w:hyperlink>
        </w:p>
        <w:p w14:paraId="77B16EE6" w14:textId="0C2071C8" w:rsidR="002A7EC9" w:rsidRPr="004A26C0" w:rsidRDefault="002A7EC9">
          <w:pPr>
            <w:pStyle w:val="TOC3"/>
            <w:rPr>
              <w:rFonts w:ascii="Open Sans" w:eastAsiaTheme="minorEastAsia" w:hAnsi="Open Sans" w:cs="Open Sans"/>
              <w:kern w:val="2"/>
              <w:sz w:val="22"/>
              <w:lang w:val="en-US"/>
              <w14:ligatures w14:val="standardContextual"/>
            </w:rPr>
          </w:pPr>
          <w:hyperlink w:anchor="_Toc147386485" w:history="1">
            <w:r w:rsidRPr="004A26C0">
              <w:rPr>
                <w:rStyle w:val="Hyperlink"/>
                <w:rFonts w:ascii="Open Sans" w:eastAsia="Open Sans SemiBold" w:hAnsi="Open Sans" w:cs="Open Sans"/>
                <w:bCs/>
                <w:lang w:val="en-US"/>
              </w:rPr>
              <w:t>4 Announcements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30</w:t>
            </w:r>
            <w:r w:rsidRPr="004A26C0">
              <w:rPr>
                <w:rFonts w:ascii="Open Sans" w:hAnsi="Open Sans" w:cs="Open Sans"/>
                <w:webHidden/>
              </w:rPr>
              <w:fldChar w:fldCharType="end"/>
            </w:r>
          </w:hyperlink>
        </w:p>
        <w:p w14:paraId="6CF86104" w14:textId="23DADAFB" w:rsidR="002A7EC9" w:rsidRPr="004A26C0" w:rsidRDefault="002A7EC9">
          <w:pPr>
            <w:pStyle w:val="TOC3"/>
            <w:rPr>
              <w:rFonts w:ascii="Open Sans" w:eastAsiaTheme="minorEastAsia" w:hAnsi="Open Sans" w:cs="Open Sans"/>
              <w:kern w:val="2"/>
              <w:sz w:val="22"/>
              <w:lang w:val="en-US"/>
              <w14:ligatures w14:val="standardContextual"/>
            </w:rPr>
          </w:pPr>
          <w:hyperlink w:anchor="_Toc147386486" w:history="1">
            <w:r w:rsidRPr="004A26C0">
              <w:rPr>
                <w:rStyle w:val="Hyperlink"/>
                <w:rFonts w:ascii="Open Sans" w:eastAsia="Open Sans SemiBold" w:hAnsi="Open Sans" w:cs="Open Sans"/>
                <w:bCs/>
                <w:lang w:val="en-US"/>
              </w:rPr>
              <w:t>5 Procurement contract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33</w:t>
            </w:r>
            <w:r w:rsidRPr="004A26C0">
              <w:rPr>
                <w:rFonts w:ascii="Open Sans" w:hAnsi="Open Sans" w:cs="Open Sans"/>
                <w:webHidden/>
              </w:rPr>
              <w:fldChar w:fldCharType="end"/>
            </w:r>
          </w:hyperlink>
        </w:p>
        <w:p w14:paraId="0FAED336" w14:textId="35B5059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7" w:history="1">
            <w:r w:rsidRPr="004A26C0">
              <w:rPr>
                <w:rStyle w:val="Hyperlink"/>
                <w:rFonts w:ascii="Open Sans" w:eastAsia="Open Sans SemiBold" w:hAnsi="Open Sans" w:cs="Open Sans"/>
                <w:lang w:val="en-US"/>
              </w:rPr>
              <w:t>ANNEX 4 Information clause on data protection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40E982BA" w14:textId="5B560987" w:rsidR="002A7EC9" w:rsidRPr="004A26C0" w:rsidRDefault="002A7EC9">
          <w:pPr>
            <w:pStyle w:val="TOC3"/>
            <w:rPr>
              <w:rFonts w:ascii="Open Sans" w:eastAsiaTheme="minorEastAsia" w:hAnsi="Open Sans" w:cs="Open Sans"/>
              <w:kern w:val="2"/>
              <w:sz w:val="22"/>
              <w:lang w:val="en-US"/>
              <w14:ligatures w14:val="standardContextual"/>
            </w:rPr>
          </w:pPr>
          <w:hyperlink w:anchor="_Toc147386488" w:history="1">
            <w:r w:rsidRPr="004A26C0">
              <w:rPr>
                <w:rStyle w:val="Hyperlink"/>
                <w:rFonts w:ascii="Open Sans" w:eastAsia="Open Sans SemiBold" w:hAnsi="Open Sans" w:cs="Open Sans"/>
                <w:bCs/>
                <w:lang w:val="en-US"/>
              </w:rPr>
              <w:t>1 Data Controller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5948F7AE" w14:textId="0678C74E" w:rsidR="002A7EC9" w:rsidRPr="004A26C0" w:rsidRDefault="002A7EC9">
          <w:pPr>
            <w:pStyle w:val="TOC3"/>
            <w:rPr>
              <w:rFonts w:ascii="Open Sans" w:eastAsiaTheme="minorEastAsia" w:hAnsi="Open Sans" w:cs="Open Sans"/>
              <w:kern w:val="2"/>
              <w:sz w:val="22"/>
              <w:lang w:val="en-US"/>
              <w14:ligatures w14:val="standardContextual"/>
            </w:rPr>
          </w:pPr>
          <w:hyperlink w:anchor="_Toc147386489" w:history="1">
            <w:r w:rsidRPr="004A26C0">
              <w:rPr>
                <w:rStyle w:val="Hyperlink"/>
                <w:rFonts w:ascii="Open Sans" w:eastAsia="Open Sans SemiBold" w:hAnsi="Open Sans" w:cs="Open Sans"/>
                <w:bCs/>
                <w:lang w:val="en-US"/>
              </w:rPr>
              <w:t>2 Purpose of data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5F52AD71" w14:textId="347C0F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0" w:history="1">
            <w:r w:rsidRPr="004A26C0">
              <w:rPr>
                <w:rStyle w:val="Hyperlink"/>
                <w:rFonts w:ascii="Open Sans" w:eastAsia="Open Sans SemiBold" w:hAnsi="Open Sans" w:cs="Open Sans"/>
                <w:bCs/>
                <w:lang w:val="en-US"/>
              </w:rPr>
              <w:t>3 Basis for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01D4C316" w14:textId="66E6745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1" w:history="1">
            <w:r w:rsidRPr="004A26C0">
              <w:rPr>
                <w:rStyle w:val="Hyperlink"/>
                <w:rFonts w:ascii="Open Sans" w:eastAsia="Open Sans SemiBold" w:hAnsi="Open Sans" w:cs="Open Sans"/>
                <w:bCs/>
                <w:lang w:val="en-US"/>
              </w:rPr>
              <w:t>4 Types of processed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39</w:t>
            </w:r>
            <w:r w:rsidRPr="004A26C0">
              <w:rPr>
                <w:rFonts w:ascii="Open Sans" w:hAnsi="Open Sans" w:cs="Open Sans"/>
                <w:webHidden/>
              </w:rPr>
              <w:fldChar w:fldCharType="end"/>
            </w:r>
          </w:hyperlink>
        </w:p>
        <w:p w14:paraId="5A4CE035" w14:textId="592306DA" w:rsidR="002A7EC9" w:rsidRPr="004A26C0" w:rsidRDefault="002A7EC9">
          <w:pPr>
            <w:pStyle w:val="TOC3"/>
            <w:rPr>
              <w:rFonts w:ascii="Open Sans" w:eastAsiaTheme="minorEastAsia" w:hAnsi="Open Sans" w:cs="Open Sans"/>
              <w:kern w:val="2"/>
              <w:sz w:val="22"/>
              <w:lang w:val="en-US"/>
              <w14:ligatures w14:val="standardContextual"/>
            </w:rPr>
          </w:pPr>
          <w:hyperlink w:anchor="_Toc147386492" w:history="1">
            <w:r w:rsidRPr="004A26C0">
              <w:rPr>
                <w:rStyle w:val="Hyperlink"/>
                <w:rFonts w:ascii="Open Sans" w:eastAsia="Open Sans SemiBold" w:hAnsi="Open Sans" w:cs="Open Sans"/>
                <w:bCs/>
                <w:lang w:val="en-US"/>
              </w:rPr>
              <w:t>5 Access to personal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40</w:t>
            </w:r>
            <w:r w:rsidRPr="004A26C0">
              <w:rPr>
                <w:rFonts w:ascii="Open Sans" w:hAnsi="Open Sans" w:cs="Open Sans"/>
                <w:webHidden/>
              </w:rPr>
              <w:fldChar w:fldCharType="end"/>
            </w:r>
          </w:hyperlink>
        </w:p>
        <w:p w14:paraId="52423A74" w14:textId="4A1DFCE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3" w:history="1">
            <w:r w:rsidRPr="004A26C0">
              <w:rPr>
                <w:rStyle w:val="Hyperlink"/>
                <w:rFonts w:ascii="Open Sans" w:eastAsia="Open Sans SemiBold" w:hAnsi="Open Sans" w:cs="Open Sans"/>
                <w:bCs/>
                <w:lang w:val="en-US"/>
              </w:rPr>
              <w:t>6 Data storage period</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51C965E2" w14:textId="5006E9C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4" w:history="1">
            <w:r w:rsidRPr="004A26C0">
              <w:rPr>
                <w:rStyle w:val="Hyperlink"/>
                <w:rFonts w:ascii="Open Sans" w:eastAsia="Open Sans SemiBold" w:hAnsi="Open Sans" w:cs="Open Sans"/>
                <w:bCs/>
                <w:lang w:val="en-US"/>
              </w:rPr>
              <w:t>7 Data subjects’ rights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36565E9A" w14:textId="2252E2F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5" w:history="1">
            <w:r w:rsidRPr="004A26C0">
              <w:rPr>
                <w:rStyle w:val="Hyperlink"/>
                <w:rFonts w:ascii="Open Sans" w:eastAsia="Open Sans SemiBold" w:hAnsi="Open Sans" w:cs="Open Sans"/>
                <w:bCs/>
                <w:lang w:val="en-US"/>
              </w:rPr>
              <w:t>8 Automated decision-making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2A780912" w14:textId="49B2BD84" w:rsidR="002A7EC9" w:rsidRPr="004A26C0" w:rsidRDefault="002A7EC9">
          <w:pPr>
            <w:pStyle w:val="TOC3"/>
            <w:rPr>
              <w:rFonts w:ascii="Open Sans" w:eastAsiaTheme="minorEastAsia" w:hAnsi="Open Sans" w:cs="Open Sans"/>
              <w:kern w:val="2"/>
              <w:sz w:val="22"/>
              <w:lang w:val="en-US"/>
              <w14:ligatures w14:val="standardContextual"/>
            </w:rPr>
          </w:pPr>
          <w:hyperlink w:anchor="_Toc147386496" w:history="1">
            <w:r w:rsidRPr="004A26C0">
              <w:rPr>
                <w:rStyle w:val="Hyperlink"/>
                <w:rFonts w:ascii="Open Sans" w:eastAsia="Open Sans SemiBold" w:hAnsi="Open Sans" w:cs="Open Sans"/>
                <w:bCs/>
                <w:lang w:val="en-US"/>
              </w:rPr>
              <w:t>9 Transfer to third countries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5A00CA2F" w14:textId="5292118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7" w:history="1">
            <w:r w:rsidRPr="004A26C0">
              <w:rPr>
                <w:rStyle w:val="Hyperlink"/>
                <w:rFonts w:ascii="Open Sans" w:eastAsia="Open Sans SemiBold" w:hAnsi="Open Sans" w:cs="Open Sans"/>
                <w:bCs/>
                <w:lang w:val="en-US"/>
              </w:rPr>
              <w:t>10 Contact with the Data Collector and the Data Protection Officer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43</w:t>
            </w:r>
            <w:r w:rsidRPr="004A26C0">
              <w:rPr>
                <w:rFonts w:ascii="Open Sans" w:hAnsi="Open Sans" w:cs="Open Sans"/>
                <w:webHidden/>
              </w:rPr>
              <w:fldChar w:fldCharType="end"/>
            </w:r>
          </w:hyperlink>
        </w:p>
        <w:p w14:paraId="6B595453" w14:textId="56ABA190"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8" w:history="1">
            <w:r w:rsidRPr="004A26C0">
              <w:rPr>
                <w:rStyle w:val="Hyperlink"/>
                <w:rFonts w:ascii="Open Sans" w:eastAsia="Open Sans SemiBold" w:hAnsi="Open Sans" w:cs="Open Sans"/>
                <w:lang w:val="en-US"/>
              </w:rPr>
              <w:t>ANNEX 5 Complaint procedure and template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44</w:t>
            </w:r>
            <w:r w:rsidRPr="004A26C0">
              <w:rPr>
                <w:rFonts w:ascii="Open Sans" w:hAnsi="Open Sans" w:cs="Open Sans"/>
                <w:webHidden/>
              </w:rPr>
              <w:fldChar w:fldCharType="end"/>
            </w:r>
          </w:hyperlink>
        </w:p>
        <w:p w14:paraId="5D04D987" w14:textId="718B2DDA"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9" w:history="1">
            <w:r w:rsidRPr="004A26C0">
              <w:rPr>
                <w:rStyle w:val="Hyperlink"/>
                <w:rFonts w:ascii="Open Sans" w:hAnsi="Open Sans" w:cs="Open Sans"/>
              </w:rPr>
              <w:t>ANNEX 6 Project selection process and criteria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1E1A071B" w14:textId="57361794" w:rsidR="002A7EC9" w:rsidRPr="004A26C0" w:rsidRDefault="002A7EC9">
          <w:pPr>
            <w:pStyle w:val="TOC3"/>
            <w:rPr>
              <w:rFonts w:ascii="Open Sans" w:eastAsiaTheme="minorEastAsia" w:hAnsi="Open Sans" w:cs="Open Sans"/>
              <w:kern w:val="2"/>
              <w:sz w:val="22"/>
              <w:lang w:val="en-US"/>
              <w14:ligatures w14:val="standardContextual"/>
            </w:rPr>
          </w:pPr>
          <w:hyperlink w:anchor="_Toc147386500" w:history="1">
            <w:r w:rsidRPr="004A26C0">
              <w:rPr>
                <w:rStyle w:val="Hyperlink"/>
                <w:rFonts w:ascii="Open Sans" w:hAnsi="Open Sans" w:cs="Open Sans"/>
                <w:lang w:val="en-US"/>
              </w:rPr>
              <w:t>1 Admissibility and eligibility check</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678F6256" w14:textId="68A9DE49" w:rsidR="002A7EC9" w:rsidRPr="004A26C0" w:rsidRDefault="002A7EC9">
          <w:pPr>
            <w:pStyle w:val="TOC3"/>
            <w:rPr>
              <w:rFonts w:ascii="Open Sans" w:eastAsiaTheme="minorEastAsia" w:hAnsi="Open Sans" w:cs="Open Sans"/>
              <w:kern w:val="2"/>
              <w:sz w:val="22"/>
              <w:lang w:val="en-US"/>
              <w14:ligatures w14:val="standardContextual"/>
            </w:rPr>
          </w:pPr>
          <w:hyperlink w:anchor="_Toc147386501" w:history="1">
            <w:r w:rsidRPr="004A26C0">
              <w:rPr>
                <w:rStyle w:val="Hyperlink"/>
                <w:rFonts w:ascii="Open Sans" w:eastAsia="Open Sans SemiBold" w:hAnsi="Open Sans" w:cs="Open Sans"/>
                <w:bCs/>
                <w:lang w:val="en-US"/>
              </w:rPr>
              <w:t>3 Strategic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65</w:t>
            </w:r>
            <w:r w:rsidRPr="004A26C0">
              <w:rPr>
                <w:rFonts w:ascii="Open Sans" w:hAnsi="Open Sans" w:cs="Open Sans"/>
                <w:webHidden/>
              </w:rPr>
              <w:fldChar w:fldCharType="end"/>
            </w:r>
          </w:hyperlink>
        </w:p>
        <w:p w14:paraId="02BC5AAF" w14:textId="6F8C75AB"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502" w:history="1">
            <w:r w:rsidRPr="004A26C0">
              <w:rPr>
                <w:rStyle w:val="Hyperlink"/>
                <w:rFonts w:ascii="Open Sans" w:hAnsi="Open Sans" w:cs="Open Sans"/>
                <w:lang w:val="en-US"/>
              </w:rPr>
              <w:t>ANNEX 7 Indicator factsheet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66</w:t>
            </w:r>
            <w:r w:rsidRPr="004A26C0">
              <w:rPr>
                <w:rFonts w:ascii="Open Sans" w:hAnsi="Open Sans" w:cs="Open Sans"/>
                <w:webHidden/>
              </w:rPr>
              <w:fldChar w:fldCharType="end"/>
            </w:r>
          </w:hyperlink>
        </w:p>
        <w:p w14:paraId="0EEF8C19" w14:textId="13E477A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3" w:history="1">
            <w:r w:rsidRPr="004A26C0">
              <w:rPr>
                <w:rStyle w:val="Hyperlink"/>
                <w:rFonts w:ascii="Open Sans" w:hAnsi="Open Sans" w:cs="Open Sans"/>
              </w:rPr>
              <w:t>1 Output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69</w:t>
            </w:r>
            <w:r w:rsidRPr="004A26C0">
              <w:rPr>
                <w:rFonts w:ascii="Open Sans" w:hAnsi="Open Sans" w:cs="Open Sans"/>
                <w:webHidden/>
              </w:rPr>
              <w:fldChar w:fldCharType="end"/>
            </w:r>
          </w:hyperlink>
        </w:p>
        <w:p w14:paraId="16DE481E" w14:textId="24F16B3C" w:rsidR="002A7EC9" w:rsidRPr="004A26C0" w:rsidRDefault="002A7EC9">
          <w:pPr>
            <w:pStyle w:val="TOC3"/>
            <w:rPr>
              <w:rFonts w:ascii="Open Sans" w:eastAsiaTheme="minorEastAsia" w:hAnsi="Open Sans" w:cs="Open Sans"/>
              <w:kern w:val="2"/>
              <w:sz w:val="22"/>
              <w:lang w:val="en-US"/>
              <w14:ligatures w14:val="standardContextual"/>
            </w:rPr>
          </w:pPr>
          <w:hyperlink w:anchor="_Toc147386504" w:history="1">
            <w:r w:rsidRPr="004A26C0">
              <w:rPr>
                <w:rStyle w:val="Hyperlink"/>
                <w:rFonts w:ascii="Open Sans" w:hAnsi="Open Sans" w:cs="Open Sans"/>
                <w:lang w:val="en-US"/>
              </w:rPr>
              <w:t>2 Result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94</w:t>
            </w:r>
            <w:r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The most common infringements in the area of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dividing or underrating the estimated value of the contract to avoid the application of law;</w:t>
      </w:r>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non-competitive description of the subject of the contract by the groundless indication of trademarks, patents or the origin of goods, without allowing the equivalent tender submission and description of equivalence;</w:t>
      </w:r>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deadlines for the tender submission or illegal shortening of deadlines for the tender submission;</w:t>
      </w:r>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improper conditions of participation in the public contract award procedure, leading to discrimination against contractors;</w:t>
      </w:r>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the conditions of participation in the public contract award procedure that exceed the needs necessary to achieve the contract objectives;</w:t>
      </w:r>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that each consortium member meets the conditions for participation in the procedure;</w:t>
      </w:r>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the submission of documents not required by the regulations;</w:t>
      </w:r>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demanding proof of experience in the execution of contracts co-financed by the EU or national funds where it is not necessary to confirm the contractor’s abilities to execute the contract;</w:t>
      </w:r>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non-compliance with the regulations on publishing the contract notice or any amendments thereto;</w:t>
      </w:r>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restriction of subcontracting;</w:t>
      </w:r>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tender evaluation criteria;</w:t>
      </w:r>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procedure in breach of the principle of transparency, fair competition and equal treatment of contractors;</w:t>
      </w:r>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The most common breaches in the area of awarding contracts in accordance with the Programme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dividing or underrating the estimated value of the contract to circumvent the application of the Programme procurement requirements;</w:t>
      </w:r>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publish the announcement of the procurement;</w:t>
      </w:r>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set the evaluation criteria;</w:t>
      </w:r>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awarding the contract to entities related in personal or capital terms;</w:t>
      </w:r>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setting the proposal deadline in a way that prevents the preparation and submission of proposals;</w:t>
      </w:r>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failure to publish the information about the selection of the proposal according to the requirements;</w:t>
      </w:r>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As a rule, all Polish partners are obliged to follow Chapter IV General Rules on Eligibility of Costs and Budget Structure of the Programme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project number;</w:t>
      </w:r>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amount eligible under the project;</w:t>
      </w:r>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If a verification of documents by a national controller/other authorised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4547CC1F"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All eligible expenditure incurred before the subsidy contract is signed should be reported before the project closure by the use of the project preparation costs lump sum, and must not be reported and placed in the project accounting records as real costs. Staff costs, if claimed by the use of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As to </w:t>
      </w:r>
      <w:r w:rsidR="0015753A" w:rsidRPr="00FD2D90">
        <w:rPr>
          <w:rFonts w:eastAsia="Open Sans" w:cs="Open Sans"/>
          <w:szCs w:val="24"/>
          <w:lang w:val="en-US"/>
        </w:rPr>
        <w:lastRenderedPageBreak/>
        <w:t>the project’s closure, partners should use a lump sum to cover all costs of activities related to the closure phase of the project. No real costs can be reported in the closure phase, meaning after the defined project end date. In justified cases costs related to the implementation phase can be paid in closure phase (</w:t>
      </w:r>
      <w:r w:rsidR="00A31FBC" w:rsidRPr="00A31FBC">
        <w:rPr>
          <w:rFonts w:eastAsia="Open Sans" w:cs="Open Sans"/>
          <w:szCs w:val="24"/>
          <w:lang w:val="en-US"/>
        </w:rPr>
        <w:t xml:space="preserve">applicable for projects starting from the second call for proposals, </w:t>
      </w:r>
      <w:r w:rsidR="0015753A" w:rsidRPr="00FD2D90">
        <w:rPr>
          <w:rFonts w:eastAsia="Open Sans" w:cs="Open Sans"/>
          <w:szCs w:val="24"/>
          <w:lang w:val="en-US"/>
        </w:rPr>
        <w:t>please see the provisions of the Programme Manual).</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following dates are considered to be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bank transfer or debit card – the date when the bank account of the project partner was debited;</w:t>
      </w:r>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credit card or similar deferred payment instrument – the date of the transaction resulting in debiting the bank account of the credit card or similar instrument;</w:t>
      </w:r>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in cash – the date of actual payment. If the cost is incurred directly by an employee of the project partner, the project partner must keep the documents evidencing this fact. The date of disbursement of cash or the bank account of the project partner is considered to be the date of expenditure. If an employee received an advance from the project partner institution for expenditure related to the project, the date of incurring the expenditure is the date of the actual payment of the invoice/bill, etc.;</w:t>
      </w:r>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depreciation costs – the date of the depreciation write-off;</w:t>
      </w:r>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lastRenderedPageBreak/>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Additional benefits may be eligible if the duties of a given project partner staff member increase temporarily due to the project implementation and provided that they were granted in accordance with the applicable labour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possibility to grant the benefit results directly from the labour law;</w:t>
      </w:r>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has been provided for in the staff regulations or in the salary regulations of the project partner institution or in other applicable provisions of labour law;</w:t>
      </w:r>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can potentially be applied to all project partner employees and the rules for granting it are the same for staff involved in the project implementation and for other project partner employees;</w:t>
      </w:r>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benefit is only eligible in the framework of the project during the involvement of the given person in the project;</w:t>
      </w:r>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amount of the benefit depends on the scope of additional obligations, however, the project staff member is granted only one benefit for carrying out tasks in several projects of the same project partner (within one Programme or several Programmes), which is 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Benefits will be eligible only up to 40% of the basic salary along with other components of remuneration, with the restriction that any exceeding of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(with the exception of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granted with regard to the involvement of the project partner’s employee in the implementation of tasks related to the project;</w:t>
      </w:r>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provided for in the staff regulations or in the salary regulations of the project partner’s institution or in other applicable provisions of the labour law;</w:t>
      </w:r>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were introduced at the project partner’s institution at least 6 months before the submission of the Application Form;</w:t>
      </w:r>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 xml:space="preserve">A person entitled to make binding financial decisions on behalf of the project partner must not have a record of being a subject of a judgement </w:t>
      </w:r>
      <w:r w:rsidRPr="00FD2D90">
        <w:rPr>
          <w:rFonts w:eastAsia="Open Sans" w:cs="Open Sans"/>
          <w:szCs w:val="24"/>
          <w:lang w:val="en-US"/>
        </w:rPr>
        <w:lastRenderedPageBreak/>
        <w:t>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‘umowa o dzieło’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(Państwowy Fundusz Rehabilitacji Osób Niepełnosprawnych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(Zakładowy Fundusz Świadczeń Socjalnych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amount of eligible travel and accommodation costs calculated as a flat rate depends on the staff costs reported and approved in a given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t>4</w:t>
      </w:r>
      <w:r w:rsidR="00164FFB" w:rsidRPr="00FD2D90">
        <w:rPr>
          <w:rFonts w:eastAsia="Open Sans SemiBold" w:cs="Open Sans"/>
          <w:bCs/>
          <w:lang w:val="en-US"/>
        </w:rPr>
        <w:t xml:space="preserve"> Equipment lease</w:t>
      </w:r>
      <w:bookmarkEnd w:id="9"/>
    </w:p>
    <w:p w14:paraId="6FB3EFA0" w14:textId="44A3EDB4"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w:t>
      </w:r>
      <w:r w:rsidR="00A3139C">
        <w:rPr>
          <w:rFonts w:eastAsia="Open Sans" w:cs="Open Sans"/>
          <w:szCs w:val="24"/>
          <w:lang w:val="en-US"/>
        </w:rPr>
        <w:t xml:space="preserve"> </w:t>
      </w:r>
      <w:r w:rsidR="00A3139C" w:rsidRPr="00A3139C">
        <w:rPr>
          <w:rFonts w:eastAsia="Open Sans" w:cs="Open Sans"/>
          <w:szCs w:val="24"/>
          <w:lang w:val="en-US"/>
        </w:rPr>
        <w:t>is the repayment schedule</w:t>
      </w:r>
      <w:r w:rsidRPr="00FD2D90">
        <w:rPr>
          <w:rFonts w:eastAsia="Open Sans" w:cs="Open Sans"/>
          <w:szCs w:val="24"/>
          <w:lang w:val="en-US"/>
        </w:rPr>
        <w:t>.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authorised expert or in the appraisal prepared based on the methodology presented by a project partner – with reference to goods purchased earlier than within 12 months before submitting the Application </w:t>
      </w:r>
      <w:r w:rsidRPr="00FD2D90">
        <w:rPr>
          <w:rFonts w:eastAsia="Open Sans" w:cs="Open Sans"/>
          <w:szCs w:val="24"/>
          <w:lang w:val="en-US"/>
        </w:rPr>
        <w:lastRenderedPageBreak/>
        <w:t>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following forms of lease are eligible for co-financing: finance lease, operating lease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assets</w:t>
      </w:r>
      <w:r w:rsidRPr="00FD2D90">
        <w:rPr>
          <w:rFonts w:eastAsia="Open Sans" w:cs="Open Sans"/>
          <w:szCs w:val="24"/>
          <w:lang w:val="en-US"/>
        </w:rPr>
        <w:t>;</w:t>
      </w:r>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
    <w:p w14:paraId="55A12397" w14:textId="6865D700"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leaseback is to link the lease agreement with a sale agreement that precedes it. When concluding a leaseback 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a leasing company and, at the same time, acquire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w:t>
      </w:r>
      <w:r w:rsidR="00637B81" w:rsidRPr="00FD2D90">
        <w:rPr>
          <w:rFonts w:eastAsia="Open Sans" w:cs="Open Sans"/>
          <w:szCs w:val="24"/>
          <w:lang w:val="en-US"/>
        </w:rPr>
        <w:lastRenderedPageBreak/>
        <w:t>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Value Added Tax (VAT) is recoverable under the national VAT legislation, it is still eligible for projects the total cost of which is below 5 mln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the VAT is non-recoverable under national VAT legislation, it is eligible for projects the total cost of which is at least 5 mln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State aid in the project, please refer to the State aid Manual available on the </w:t>
      </w:r>
      <w:hyperlink r:id="rId9" w:history="1">
        <w:r w:rsidRPr="00FD2D90">
          <w:rPr>
            <w:rFonts w:cs="Open Sans"/>
            <w:b/>
            <w:spacing w:val="-2"/>
            <w:szCs w:val="24"/>
            <w:lang w:val="en-US"/>
          </w:rPr>
          <w:t>Programme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co-financing;</w:t>
      </w:r>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(fundusze celowe) are required to provide 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Programme), this obligation is performed regardless of information activities resulting from the provisions of the European Union. Such a combination of various sources of financing may occur when the beneficiary’s </w:t>
      </w:r>
      <w:r w:rsidRPr="00FD2D90">
        <w:rPr>
          <w:rFonts w:eastAsia="Open Sans" w:cs="Open Sans"/>
          <w:szCs w:val="24"/>
          <w:lang w:val="en-US"/>
        </w:rPr>
        <w:lastRenderedPageBreak/>
        <w:t>contribution to the project comes from the state budget or earmarked funds (fundusze celowe).</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Programme and also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(fundusze celowe)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Pr="00FD2D90"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6288CE89" w14:textId="02F55BE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whose value does not exceed PLN 50,000 net</w:t>
      </w:r>
      <w:r w:rsidRPr="00FD2D90">
        <w:rPr>
          <w:rFonts w:eastAsia="Open Sans" w:cs="Open Sans"/>
          <w:szCs w:val="24"/>
          <w:lang w:val="en-US"/>
        </w:rPr>
        <w:t>;</w:t>
      </w:r>
    </w:p>
    <w:p w14:paraId="71C62B08" w14:textId="269EC1DE"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pursuant to the Act of 11 September 2019 Public Procurement Law (Journal of Laws of 2022, item 1719, as amended), </w:t>
      </w:r>
      <w:r w:rsidR="005A2AE3" w:rsidRPr="00FD2D90">
        <w:rPr>
          <w:rFonts w:eastAsia="Open Sans" w:cs="Open Sans"/>
          <w:szCs w:val="24"/>
          <w:lang w:val="en-US"/>
        </w:rPr>
        <w:t>(</w:t>
      </w:r>
      <w:r w:rsidR="007C2A88" w:rsidRPr="00FD2D90">
        <w:rPr>
          <w:rFonts w:eastAsia="Open Sans" w:cs="Open Sans"/>
          <w:szCs w:val="24"/>
          <w:lang w:val="en-US"/>
        </w:rPr>
        <w:t>hereinafter</w:t>
      </w:r>
      <w:r w:rsidR="005A2AE3" w:rsidRPr="00FD2D90">
        <w:rPr>
          <w:rFonts w:eastAsia="Open Sans" w:cs="Open Sans"/>
          <w:szCs w:val="24"/>
          <w:lang w:val="en-US"/>
        </w:rPr>
        <w:t xml:space="preserve"> - </w:t>
      </w:r>
      <w:r w:rsidR="007C2A88" w:rsidRPr="00FD2D90">
        <w:rPr>
          <w:rFonts w:eastAsia="Open Sans" w:cs="Open Sans"/>
          <w:szCs w:val="24"/>
          <w:lang w:val="en-US"/>
        </w:rPr>
        <w:t>Ppl</w:t>
      </w:r>
      <w:r w:rsidR="005A2AE3" w:rsidRPr="00FD2D90">
        <w:rPr>
          <w:rFonts w:eastAsia="Open Sans" w:cs="Open Sans"/>
          <w:szCs w:val="24"/>
          <w:lang w:val="en-US"/>
        </w:rPr>
        <w:t>)</w:t>
      </w:r>
      <w:r w:rsidRPr="00FD2D90">
        <w:rPr>
          <w:rFonts w:eastAsia="Open Sans" w:cs="Open Sans"/>
          <w:szCs w:val="24"/>
          <w:lang w:val="en-US"/>
        </w:rPr>
        <w:t>;</w:t>
      </w:r>
    </w:p>
    <w:p w14:paraId="7A37FB66" w14:textId="46DE440C"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with the subject specified in Articles 9–14 Ppl</w:t>
      </w:r>
      <w:r w:rsidRPr="00FD2D90">
        <w:rPr>
          <w:rFonts w:eastAsia="Open Sans" w:cs="Open Sans"/>
          <w:szCs w:val="24"/>
          <w:lang w:val="en-US"/>
        </w:rPr>
        <w:t>;</w:t>
      </w:r>
    </w:p>
    <w:p w14:paraId="63EF4D45" w14:textId="5B457557"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p</w:t>
      </w:r>
      <w:r w:rsidR="007C2A88" w:rsidRPr="00FD2D90">
        <w:rPr>
          <w:rFonts w:eastAsia="Open Sans" w:cs="Open Sans"/>
          <w:szCs w:val="24"/>
          <w:lang w:val="en-US"/>
        </w:rPr>
        <w:t>erformance of public tasks by a public administration body based on Article 5(2)(1) of the Act on public benefit activity and volunteerism</w:t>
      </w:r>
      <w:r w:rsidRPr="00FD2D90">
        <w:rPr>
          <w:rFonts w:eastAsia="Open Sans" w:cs="Open Sans"/>
          <w:szCs w:val="24"/>
          <w:lang w:val="en-US"/>
        </w:rPr>
        <w:t>;</w:t>
      </w:r>
    </w:p>
    <w:p w14:paraId="041425E8" w14:textId="050B8934"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under legal regulations other than the Ppl, which exclude the application of the Ppl</w:t>
      </w:r>
      <w:r w:rsidRPr="00FD2D90">
        <w:rPr>
          <w:rFonts w:eastAsia="Open Sans" w:cs="Open Sans"/>
          <w:szCs w:val="24"/>
          <w:lang w:val="en-US"/>
        </w:rPr>
        <w:t>;</w:t>
      </w:r>
    </w:p>
    <w:p w14:paraId="5F6C4772" w14:textId="6F345DB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e</w:t>
      </w:r>
      <w:r w:rsidR="007C2A88" w:rsidRPr="00FD2D90">
        <w:rPr>
          <w:rFonts w:eastAsia="Open Sans" w:cs="Open Sans"/>
          <w:szCs w:val="24"/>
          <w:lang w:val="en-US"/>
        </w:rPr>
        <w:t xml:space="preserve">xpenditures </w:t>
      </w:r>
      <w:bookmarkStart w:id="17" w:name="_Hlk107299216"/>
      <w:r w:rsidR="007C2A88" w:rsidRPr="00FD2D90">
        <w:rPr>
          <w:rFonts w:eastAsia="Open Sans" w:cs="Open Sans"/>
          <w:szCs w:val="24"/>
          <w:lang w:val="en-US"/>
        </w:rPr>
        <w:t xml:space="preserve">settled by simplified methods </w:t>
      </w:r>
      <w:bookmarkEnd w:id="17"/>
      <w:r w:rsidR="007C2A88" w:rsidRPr="00FD2D90">
        <w:rPr>
          <w:rFonts w:eastAsia="Open Sans" w:cs="Open Sans"/>
          <w:szCs w:val="24"/>
          <w:lang w:val="en-US"/>
        </w:rPr>
        <w:t>and financing not related to costs</w:t>
      </w:r>
      <w:r w:rsidRPr="00FD2D90">
        <w:rPr>
          <w:rFonts w:eastAsia="Open Sans" w:cs="Open Sans"/>
          <w:szCs w:val="24"/>
          <w:lang w:val="en-US"/>
        </w:rPr>
        <w:t>;</w:t>
      </w:r>
    </w:p>
    <w:p w14:paraId="14428047" w14:textId="2FC7E766"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beneficiaries selected according to the procedure specified in the Act of 19 December 2008 on public-private partnership (Journal of Laws of 2022, item 407, as amended) or in the Act of 21 October 2016 on the concession contract for </w:t>
      </w:r>
      <w:r w:rsidR="007C2A88" w:rsidRPr="00FD2D90">
        <w:rPr>
          <w:rFonts w:eastAsia="Open Sans" w:cs="Open Sans"/>
          <w:szCs w:val="24"/>
          <w:lang w:val="en-US"/>
        </w:rPr>
        <w:lastRenderedPageBreak/>
        <w:t>construction works or services (Journal of Laws of 2021, item 541 as amended) for execution of a hybrid project</w:t>
      </w:r>
      <w:r w:rsidRPr="00FD2D90">
        <w:rPr>
          <w:rFonts w:eastAsia="Open Sans" w:cs="Open Sans"/>
          <w:szCs w:val="24"/>
          <w:lang w:val="en-US"/>
        </w:rPr>
        <w:t>;</w:t>
      </w:r>
    </w:p>
    <w:p w14:paraId="04AC0149" w14:textId="2A17822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or procurement procedures launched before the submission of the application for project financing for projects that have been awarded a Seal of Excellence as referred to in Article 2(45) of the General Regulation</w:t>
      </w:r>
      <w:r w:rsidRPr="00FD2D90">
        <w:rPr>
          <w:rFonts w:eastAsia="Open Sans" w:cs="Open Sans"/>
          <w:szCs w:val="24"/>
          <w:lang w:val="en-US"/>
        </w:rPr>
        <w:t>;</w:t>
      </w:r>
    </w:p>
    <w:p w14:paraId="382D8612" w14:textId="71A32A5C" w:rsidR="007C2A88"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r w:rsidR="00013987" w:rsidRPr="00FD2D90">
        <w:rPr>
          <w:rFonts w:eastAsia="Open Sans" w:cs="Open Sans"/>
          <w:szCs w:val="24"/>
          <w:lang w:val="en-US"/>
        </w:rPr>
        <w:t>.</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extreme urgency (necessity) for the award of the contract not attributable to the contracting authority, which could not have been foreseen, the time limits laid down in paragraph 19, section 1.3 of this Annex cannot be complied with</w:t>
      </w:r>
      <w:r w:rsidR="00C370A4" w:rsidRPr="00FD2D90">
        <w:rPr>
          <w:rFonts w:eastAsia="Open Sans" w:cs="Open Sans"/>
          <w:szCs w:val="24"/>
          <w:lang w:val="en-US"/>
        </w:rPr>
        <w:t>;</w:t>
      </w:r>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with</w:t>
      </w:r>
      <w:r w:rsidR="00C370A4" w:rsidRPr="00FD2D90">
        <w:rPr>
          <w:rFonts w:eastAsia="Open Sans" w:cs="Open Sans"/>
          <w:szCs w:val="24"/>
          <w:lang w:val="en-US"/>
        </w:rPr>
        <w:t>;</w:t>
      </w:r>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lastRenderedPageBreak/>
        <w:t>the subject matter of the contract is protected by exclusive rights, including intellectual property rights, when there is only one contractor who has the exclusive right to dispose of the subject matter of the contract and this right is protected by law</w:t>
      </w:r>
      <w:r w:rsidR="00980E87" w:rsidRPr="00FD2D90">
        <w:rPr>
          <w:rFonts w:cs="Open Sans"/>
          <w:szCs w:val="24"/>
          <w:lang w:val="en-GB"/>
        </w:rPr>
        <w:t>;</w:t>
      </w:r>
    </w:p>
    <w:p w14:paraId="504AC581" w14:textId="7E68F8F9" w:rsidR="007C2A88" w:rsidRPr="00FD2D90" w:rsidRDefault="007C2A88" w:rsidP="00D8311E">
      <w:pPr>
        <w:spacing w:before="3" w:after="3" w:line="360" w:lineRule="auto"/>
        <w:ind w:left="1710"/>
        <w:rPr>
          <w:rFonts w:eastAsia="Open Sans" w:cs="Open Sans"/>
          <w:szCs w:val="24"/>
          <w:lang w:val="en-US"/>
        </w:rPr>
      </w:pPr>
      <w:r w:rsidRPr="00FD2D90">
        <w:rPr>
          <w:rFonts w:eastAsia="Open Sans" w:cs="Open Sans"/>
          <w:szCs w:val="24"/>
          <w:lang w:val="en-US"/>
        </w:rPr>
        <w:t>as long as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in the field of creative or artistic activity, which can be executed by only one contractor</w:t>
      </w:r>
      <w:r w:rsidR="00980E87" w:rsidRPr="00FD2D90">
        <w:rPr>
          <w:rFonts w:eastAsia="Open Sans" w:cs="Open Sans"/>
          <w:szCs w:val="24"/>
          <w:lang w:val="en-US"/>
        </w:rPr>
        <w:t>;</w:t>
      </w:r>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for supplies on particularly favourable terms in connection with the liquidation of the business of another entity, execution proceedings or bankruptcy</w:t>
      </w:r>
      <w:r w:rsidR="00980E87" w:rsidRPr="00FD2D90">
        <w:rPr>
          <w:rFonts w:eastAsia="Open Sans" w:cs="Open Sans"/>
          <w:szCs w:val="24"/>
          <w:lang w:val="en-US"/>
        </w:rPr>
        <w:t>;</w:t>
      </w:r>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upply orders placed on a commodity market in the understanding of the regulations on commodity market, including commodity markets of other member states of the European Economic Area</w:t>
      </w:r>
      <w:r w:rsidR="00980E87" w:rsidRPr="00FD2D90">
        <w:rPr>
          <w:rFonts w:eastAsia="Open Sans" w:cs="Open Sans"/>
          <w:szCs w:val="24"/>
          <w:lang w:val="en-US"/>
        </w:rPr>
        <w:t>;</w:t>
      </w:r>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by a foreign service post within the meaning of the foreign service regulations</w:t>
      </w:r>
      <w:r w:rsidR="00C370A4" w:rsidRPr="00FD2D90">
        <w:rPr>
          <w:rFonts w:eastAsia="Open Sans" w:cs="Open Sans"/>
          <w:szCs w:val="24"/>
          <w:lang w:val="en-US"/>
        </w:rPr>
        <w:t>;</w:t>
      </w:r>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for the exclusive needs of a military unit within the meaning of the regulations on the use or stay of the Polish Armed Forces outside the country’s borders</w:t>
      </w:r>
      <w:r w:rsidR="00980E87" w:rsidRPr="00FD2D90">
        <w:rPr>
          <w:rFonts w:eastAsia="Open Sans" w:cs="Open Sans"/>
          <w:szCs w:val="24"/>
          <w:lang w:val="en-US"/>
        </w:rPr>
        <w:t>;</w:t>
      </w:r>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ases specified in Article 214(1)(11–14) Ppl in relation to entities indicated in this provision</w:t>
      </w:r>
      <w:r w:rsidR="00980E87" w:rsidRPr="00FD2D90">
        <w:rPr>
          <w:rFonts w:eastAsia="Open Sans" w:cs="Open Sans"/>
          <w:szCs w:val="24"/>
          <w:lang w:val="en-US"/>
        </w:rPr>
        <w:t>;</w:t>
      </w:r>
    </w:p>
    <w:p w14:paraId="1EC1C971" w14:textId="2221BE2F"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to the contractor selected in accordance with the competition rules for additional supplies concerning the partial replacement of products or installations supplied or the extension </w:t>
      </w:r>
      <w:r w:rsidR="007C2A88" w:rsidRPr="00FD2D90">
        <w:rPr>
          <w:rFonts w:eastAsia="Open Sans" w:cs="Open Sans"/>
          <w:szCs w:val="24"/>
          <w:lang w:val="en-US"/>
        </w:rPr>
        <w:lastRenderedPageBreak/>
        <w:t>of current supplies or existing installations, and a change of  contractor would result in the acquisition of materials having different technical characteristics which would cause technical incompatibility or disproportionate technical difficulties in the operation and maintenance of those products or installations (the duration of the contract for the procurement of additional supplies must not exceed 3 years)</w:t>
      </w:r>
      <w:r w:rsidR="00980E87" w:rsidRPr="00FD2D90">
        <w:rPr>
          <w:rFonts w:eastAsia="Open Sans" w:cs="Open Sans"/>
          <w:szCs w:val="24"/>
          <w:lang w:val="en-US"/>
        </w:rPr>
        <w:t>;</w:t>
      </w:r>
    </w:p>
    <w:p w14:paraId="5CFF6ED4" w14:textId="2EE4C14E" w:rsidR="007C2A88"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8" w:name="_Toc147386484"/>
      <w:r w:rsidRPr="00FD2D90">
        <w:rPr>
          <w:rFonts w:eastAsia="Open Sans SemiBold" w:cs="Open Sans"/>
          <w:bCs/>
          <w:lang w:val="en-US"/>
        </w:rPr>
        <w:t>3 Procurement procedure</w:t>
      </w:r>
      <w:bookmarkEnd w:id="18"/>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calculation of the estimated contract value for the project shall be based on the contractor’s total estimated renumeration, excluding value-</w:t>
      </w:r>
      <w:r w:rsidRPr="00FD2D90">
        <w:rPr>
          <w:rFonts w:eastAsia="Open Sans" w:cs="Open Sans"/>
          <w:szCs w:val="24"/>
          <w:lang w:val="en-US"/>
        </w:rPr>
        <w:lastRenderedPageBreak/>
        <w:t xml:space="preserve">added tax, as determined with due diligence. The estimate is documented in a manner that ensures a proper audit trail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services, supplies and construction works are identical in kind or function (subject identity), while the material identity of the supplies includes similar supplies</w:t>
      </w:r>
      <w:r w:rsidR="00980E87" w:rsidRPr="00FD2D90">
        <w:rPr>
          <w:rFonts w:eastAsia="Open Sans" w:cs="Open Sans"/>
          <w:szCs w:val="24"/>
          <w:lang w:val="en-US"/>
        </w:rPr>
        <w:t>;</w:t>
      </w:r>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 xml:space="preserve">The identities should be understood following the interpretation of the </w:t>
      </w:r>
      <w:r w:rsidRPr="00FD2D90">
        <w:rPr>
          <w:rFonts w:eastAsia="Open Sans" w:cs="Open Sans"/>
          <w:szCs w:val="24"/>
          <w:lang w:val="en-US"/>
        </w:rPr>
        <w:lastRenderedPageBreak/>
        <w:t>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organisational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9" w:name="_Hlk104201094"/>
      <w:r w:rsidRPr="00FD2D90">
        <w:rPr>
          <w:rFonts w:eastAsia="Open Sans" w:cs="Open Sans"/>
          <w:szCs w:val="24"/>
          <w:lang w:val="en-US"/>
        </w:rPr>
        <w:t>A conflict of interest is any situation in which persons involved in the preparation or conduct of the procurement procedure or likely to influence the outcome of that procedure have, directly or indirectly, a financial, economic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To avoid a conflict of interest, for a beneficiary who is not a contracting authority within the meaning of the Ppl, contracts may not be awarded to entities related to them personally or by capital, except for sector contracts and contracts defined in section 1.2(2)(i). </w:t>
      </w:r>
      <w:bookmarkEnd w:id="19"/>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participating in the company as a partner in a civil partnership or partnership</w:t>
      </w:r>
      <w:r w:rsidR="00980E87" w:rsidRPr="00FD2D90">
        <w:rPr>
          <w:rFonts w:eastAsia="Open Sans" w:cs="Open Sans"/>
          <w:szCs w:val="24"/>
          <w:lang w:val="en-US"/>
        </w:rPr>
        <w:t>;</w:t>
      </w:r>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r w:rsidR="00980E87" w:rsidRPr="00FD2D90">
        <w:rPr>
          <w:rFonts w:eastAsia="Open Sans" w:cs="Open Sans"/>
          <w:szCs w:val="24"/>
          <w:lang w:val="en-US"/>
        </w:rPr>
        <w:t>;</w:t>
      </w:r>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attorney-in-fact</w:t>
      </w:r>
      <w:r w:rsidR="00980E87" w:rsidRPr="00FD2D90">
        <w:rPr>
          <w:rFonts w:eastAsia="Open Sans" w:cs="Open Sans"/>
          <w:szCs w:val="24"/>
          <w:lang w:val="en-US"/>
        </w:rPr>
        <w:t>;</w:t>
      </w:r>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r w:rsidR="00980E87" w:rsidRPr="00FD2D90">
        <w:rPr>
          <w:rFonts w:eastAsia="Open Sans" w:cs="Open Sans"/>
          <w:szCs w:val="24"/>
          <w:lang w:val="en-US"/>
        </w:rPr>
        <w:t>;</w:t>
      </w:r>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characterises the products or services provided by a particular contractor if this would have the effect of favouring or eliminating certain contractors or products. In exceptional cases, such references shall be permitted where it is not possible to describe the subject of the contract in a sufficiently precise and intelligible manner in </w:t>
      </w:r>
      <w:r w:rsidRPr="00FD2D90">
        <w:rPr>
          <w:rFonts w:eastAsia="Open Sans" w:cs="Open Sans"/>
          <w:szCs w:val="24"/>
          <w:lang w:val="en-US"/>
        </w:rPr>
        <w:lastRenderedPageBreak/>
        <w:t>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BC0C801"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Pr="00FD2D90">
        <w:rPr>
          <w:rFonts w:eastAsia="Open Sans" w:cs="Open Sans"/>
          <w:szCs w:val="24"/>
          <w:lang w:val="en-US"/>
        </w:rPr>
        <w:lastRenderedPageBreak/>
        <w:t>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With regard to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tender evaluation criterion must be related to the subject matter of the contract</w:t>
      </w:r>
      <w:r w:rsidR="00F77CE1" w:rsidRPr="00FD2D90">
        <w:rPr>
          <w:rFonts w:eastAsia="Open Sans" w:cs="Open Sans"/>
          <w:szCs w:val="24"/>
          <w:lang w:val="en-US"/>
        </w:rPr>
        <w:t>;</w:t>
      </w:r>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criterion and the description of its application must be formulated in a clear and understandable manner</w:t>
      </w:r>
      <w:r w:rsidR="00F77CE1" w:rsidRPr="00FD2D90">
        <w:rPr>
          <w:rFonts w:eastAsia="Open Sans" w:cs="Open Sans"/>
          <w:szCs w:val="24"/>
          <w:lang w:val="en-US"/>
        </w:rPr>
        <w:t>;</w:t>
      </w:r>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aspects</w:t>
      </w:r>
      <w:r w:rsidR="00980E87" w:rsidRPr="00FD2D90">
        <w:rPr>
          <w:rFonts w:eastAsia="Open Sans" w:cs="Open Sans"/>
          <w:szCs w:val="24"/>
          <w:lang w:val="en-US"/>
        </w:rPr>
        <w:t>;</w:t>
      </w:r>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 xml:space="preserve">organisation, professional qualifications and experience of persons assigned to perform the contract, if they can have a significant influence on the quality of the contract performance;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in particular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7 days – for supplies and services</w:t>
      </w:r>
      <w:r w:rsidR="00980E87" w:rsidRPr="00FD2D90">
        <w:rPr>
          <w:rFonts w:eastAsia="Open Sans" w:cs="Open Sans"/>
          <w:szCs w:val="24"/>
          <w:lang w:val="en-US"/>
        </w:rPr>
        <w:t>;</w:t>
      </w:r>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14 days – for construction works</w:t>
      </w:r>
      <w:r w:rsidR="00980E87" w:rsidRPr="00FD2D90">
        <w:rPr>
          <w:rFonts w:eastAsia="Open Sans" w:cs="Open Sans"/>
          <w:szCs w:val="24"/>
          <w:lang w:val="en-US"/>
        </w:rPr>
        <w:t>;</w:t>
      </w:r>
    </w:p>
    <w:p w14:paraId="24C3E7E7" w14:textId="0BAE6B6E"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5,382,000 for construction works and 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w:t>
      </w:r>
      <w:r w:rsidRPr="00FD2D90">
        <w:rPr>
          <w:rFonts w:eastAsia="Open Sans" w:cs="Open Sans"/>
          <w:szCs w:val="24"/>
          <w:lang w:val="en-US"/>
        </w:rPr>
        <w:lastRenderedPageBreak/>
        <w:t xml:space="preserve">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r w:rsidR="00980E87" w:rsidRPr="00FD2D90">
        <w:rPr>
          <w:rFonts w:eastAsia="Open Sans" w:cs="Open Sans"/>
          <w:szCs w:val="24"/>
          <w:lang w:val="en-US"/>
        </w:rPr>
        <w:t>;</w:t>
      </w:r>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conflicts of interest detected, and the measures taken in relation thereto, or information on the absence of conflicts of interest</w:t>
      </w:r>
      <w:r w:rsidR="00980E87" w:rsidRPr="00FD2D90">
        <w:rPr>
          <w:rFonts w:eastAsia="Open Sans" w:cs="Open Sans"/>
          <w:szCs w:val="24"/>
          <w:lang w:val="en-US"/>
        </w:rPr>
        <w:t>;</w:t>
      </w:r>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meeting the conditions of participation by contractors, if such conditions were set</w:t>
      </w:r>
      <w:r w:rsidR="00980E87" w:rsidRPr="00FD2D90">
        <w:rPr>
          <w:rFonts w:eastAsia="Open Sans" w:cs="Open Sans"/>
          <w:szCs w:val="24"/>
          <w:lang w:val="en-US"/>
        </w:rPr>
        <w:t>;</w:t>
      </w:r>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the point or percentage weights assigned to each of the evaluation criteria and the score awarded to each contractor for meeting each criterion</w:t>
      </w:r>
      <w:r w:rsidR="00980E87" w:rsidRPr="00FD2D90">
        <w:rPr>
          <w:rFonts w:eastAsia="Open Sans" w:cs="Open Sans"/>
          <w:szCs w:val="24"/>
          <w:lang w:val="en-US"/>
        </w:rPr>
        <w:t>;</w:t>
      </w:r>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r w:rsidR="00980E87" w:rsidRPr="00FD2D90">
        <w:rPr>
          <w:rFonts w:eastAsia="Open Sans" w:cs="Open Sans"/>
          <w:szCs w:val="24"/>
          <w:lang w:val="en-US"/>
        </w:rPr>
        <w:t>;</w:t>
      </w:r>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r w:rsidR="00980E87" w:rsidRPr="00FD2D90">
        <w:rPr>
          <w:rFonts w:eastAsia="Open Sans" w:cs="Open Sans"/>
          <w:szCs w:val="24"/>
          <w:lang w:val="en-US"/>
        </w:rPr>
        <w:t>;</w:t>
      </w:r>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indication of the selected tender (first and last name or name of the contractor) together with the justification of the choice or the reasons why the contracting authority decided not to award the contract</w:t>
      </w:r>
      <w:r w:rsidR="00980E87" w:rsidRPr="00FD2D90">
        <w:rPr>
          <w:rFonts w:eastAsia="Open Sans" w:cs="Open Sans"/>
          <w:szCs w:val="24"/>
          <w:lang w:val="en-US"/>
        </w:rPr>
        <w:t>;</w:t>
      </w:r>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first names and last names of the persons who performed activities in the conducted procedure</w:t>
      </w:r>
      <w:r w:rsidR="00980E87" w:rsidRPr="00FD2D90">
        <w:rPr>
          <w:rFonts w:eastAsia="Open Sans" w:cs="Open Sans"/>
          <w:szCs w:val="24"/>
          <w:lang w:val="en-US"/>
        </w:rPr>
        <w:t>;</w:t>
      </w:r>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date the protocol was prepared</w:t>
      </w:r>
      <w:r w:rsidR="00980E87" w:rsidRPr="00FD2D90">
        <w:rPr>
          <w:rFonts w:eastAsia="Open Sans" w:cs="Open Sans"/>
          <w:szCs w:val="24"/>
          <w:lang w:val="en-US"/>
        </w:rPr>
        <w:t>;</w:t>
      </w:r>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document referred to in point 1, unless the estimation of the contract value results from the approved Application Form</w:t>
      </w:r>
      <w:r w:rsidR="00980E87" w:rsidRPr="00FD2D90">
        <w:rPr>
          <w:rFonts w:cs="Open Sans"/>
          <w:szCs w:val="24"/>
          <w:lang w:val="en-GB"/>
        </w:rPr>
        <w:t>;</w:t>
      </w:r>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declarations referred to in item 8</w:t>
      </w:r>
      <w:r w:rsidR="00980E87" w:rsidRPr="00FD2D90">
        <w:rPr>
          <w:rFonts w:cs="Open Sans"/>
          <w:szCs w:val="24"/>
          <w:lang w:val="en-GB"/>
        </w:rPr>
        <w:t>;</w:t>
      </w:r>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lastRenderedPageBreak/>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20" w:name="_Hlk136249886"/>
      <w:r w:rsidRPr="00FD2D90">
        <w:rPr>
          <w:rFonts w:eastAsia="Open Sans" w:cs="Open Sans"/>
          <w:szCs w:val="24"/>
          <w:lang w:val="en-US"/>
        </w:rPr>
        <w:t>The beneficiary must exclude from a public procurement procedure or competition persons and entities included in the EU or national sanction lists in connection with Russia's actions destabilising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20"/>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1"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accordance with the Public Procurement Law (Journal of Laws of 2021, item 1129, as amended)</w:t>
      </w:r>
      <w:r w:rsidR="00F77CE1" w:rsidRPr="00FD2D90">
        <w:rPr>
          <w:rFonts w:eastAsia="Open Sans" w:cs="Open Sans"/>
          <w:szCs w:val="24"/>
          <w:lang w:val="en-US"/>
        </w:rPr>
        <w:t>;</w:t>
      </w:r>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proceedings with a value of less than PLN 130,000, including the competition rule</w:t>
      </w:r>
      <w:r w:rsidR="00F77CE1" w:rsidRPr="00FD2D90">
        <w:rPr>
          <w:rFonts w:eastAsia="Open Sans" w:cs="Open Sans"/>
          <w:szCs w:val="24"/>
          <w:lang w:val="en-US"/>
        </w:rPr>
        <w:t>;</w:t>
      </w:r>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in procurements excluded from the provisions of the Public Procurement Law. </w:t>
      </w:r>
      <w:bookmarkEnd w:id="21"/>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2" w:name="_Toc147386485"/>
      <w:r w:rsidRPr="00FD2D90">
        <w:rPr>
          <w:rFonts w:eastAsia="Open Sans SemiBold" w:cs="Open Sans"/>
          <w:bCs/>
          <w:lang w:val="en-US"/>
        </w:rPr>
        <w:t>4 Announcements</w:t>
      </w:r>
      <w:bookmarkEnd w:id="22"/>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this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 xml:space="preserve">If the communication specified in item 1 is waived, (and it is only acceptable to the extent that it is not possible to comply with the method of communication in BK2021) the contracting authority shall specify in the </w:t>
      </w:r>
      <w:r w:rsidRPr="00FD2D90">
        <w:rPr>
          <w:rFonts w:eastAsia="Open Sans" w:cs="Open Sans"/>
          <w:szCs w:val="24"/>
          <w:lang w:val="en-US"/>
        </w:rPr>
        <w:lastRenderedPageBreak/>
        <w:t>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website, if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subject matter of the contract</w:t>
      </w:r>
      <w:r w:rsidR="00980E87" w:rsidRPr="00FD2D90">
        <w:rPr>
          <w:rFonts w:eastAsia="Open Sans" w:cs="Open Sans"/>
          <w:szCs w:val="24"/>
          <w:lang w:val="en-US"/>
        </w:rPr>
        <w:t>;</w:t>
      </w:r>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conditions for participation in the procedure and a description of the method used to evaluate their fulfilment, if such conditions are required by the contracting authority</w:t>
      </w:r>
      <w:r w:rsidR="00980E87" w:rsidRPr="00FD2D90">
        <w:rPr>
          <w:rFonts w:eastAsia="Open Sans" w:cs="Open Sans"/>
          <w:szCs w:val="24"/>
          <w:lang w:val="en-US"/>
        </w:rPr>
        <w:t>;</w:t>
      </w:r>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information about the point or percentage weightings assigned to each tender evaluation criteria and the description of the method for awarding scores for satisfying each tender evaluation criterion</w:t>
      </w:r>
      <w:r w:rsidR="00980E87" w:rsidRPr="00FD2D90">
        <w:rPr>
          <w:rFonts w:eastAsia="Open Sans" w:cs="Open Sans"/>
          <w:szCs w:val="24"/>
          <w:lang w:val="en-US"/>
        </w:rPr>
        <w:t>;</w:t>
      </w:r>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submission of tenders</w:t>
      </w:r>
      <w:r w:rsidR="00980E87" w:rsidRPr="00FD2D90">
        <w:rPr>
          <w:rFonts w:eastAsia="Open Sans" w:cs="Open Sans"/>
          <w:szCs w:val="24"/>
          <w:lang w:val="en-US"/>
        </w:rPr>
        <w:t>;</w:t>
      </w:r>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performance of the contract</w:t>
      </w:r>
      <w:r w:rsidR="00980E87" w:rsidRPr="00FD2D90">
        <w:rPr>
          <w:rFonts w:eastAsia="Open Sans" w:cs="Open Sans"/>
          <w:szCs w:val="24"/>
          <w:lang w:val="en-US"/>
        </w:rPr>
        <w:t>;</w:t>
      </w:r>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the prohibition of conflict of interest</w:t>
      </w:r>
      <w:r w:rsidR="00980E87" w:rsidRPr="00FD2D90">
        <w:rPr>
          <w:rFonts w:eastAsia="Open Sans" w:cs="Open Sans"/>
          <w:szCs w:val="24"/>
          <w:lang w:val="en-US"/>
        </w:rPr>
        <w:t>;</w:t>
      </w:r>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definition of the terms of material amendments to the agreement concluded as a result of the conducted procurement procedure, if the contracting authority provides for the possibility to amend the agreement</w:t>
      </w:r>
      <w:r w:rsidR="00980E87" w:rsidRPr="00FD2D90">
        <w:rPr>
          <w:rFonts w:eastAsia="Open Sans" w:cs="Open Sans"/>
          <w:szCs w:val="24"/>
          <w:lang w:val="en-US"/>
        </w:rPr>
        <w:t>;</w:t>
      </w:r>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when the contracting authority awards a contract in parts, information that a given procedure covers only a part of the contract, together with the scope or value of the entire contract and information on the other parts of the contract</w:t>
      </w:r>
      <w:r w:rsidR="00980E87" w:rsidRPr="00FD2D90">
        <w:rPr>
          <w:rFonts w:eastAsia="Open Sans" w:cs="Open Sans"/>
          <w:szCs w:val="24"/>
          <w:lang w:val="en-US"/>
        </w:rPr>
        <w:t>;</w:t>
      </w:r>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solution</w:t>
      </w:r>
      <w:r w:rsidR="006B35AC" w:rsidRPr="00FD2D90">
        <w:rPr>
          <w:rFonts w:eastAsia="Open Sans" w:cs="Open Sans"/>
          <w:szCs w:val="24"/>
          <w:lang w:val="en-US"/>
        </w:rPr>
        <w:t xml:space="preserve">  </w:t>
      </w:r>
      <w:r w:rsidRPr="00FD2D90">
        <w:rPr>
          <w:rFonts w:eastAsia="Open Sans" w:cs="Open Sans"/>
          <w:szCs w:val="24"/>
          <w:lang w:val="en-US"/>
        </w:rPr>
        <w:t>should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tenders, if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3"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3"/>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4" w:name="_Hlk115957343"/>
      <w:r w:rsidRPr="00FD2D90">
        <w:rPr>
          <w:rFonts w:eastAsia="Open Sans" w:cs="Open Sans"/>
          <w:szCs w:val="24"/>
          <w:lang w:val="en-US"/>
        </w:rPr>
        <w:t xml:space="preserve">contractor </w:t>
      </w:r>
      <w:bookmarkEnd w:id="24"/>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have been provided for in the request for proposal as unambiguous contractual provisions that define their scope and nature and the conditions for introducing the changes</w:t>
      </w:r>
      <w:r w:rsidR="00980E87" w:rsidRPr="00FD2D90">
        <w:rPr>
          <w:rFonts w:eastAsia="Open Sans" w:cs="Open Sans"/>
          <w:szCs w:val="24"/>
          <w:lang w:val="en-US"/>
        </w:rPr>
        <w:t>;</w:t>
      </w:r>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concern the realisation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in particular regarding the </w:t>
      </w:r>
      <w:r w:rsidRPr="00FD2D90">
        <w:rPr>
          <w:rFonts w:cs="Open Sans"/>
          <w:szCs w:val="24"/>
          <w:lang w:val="en-GB"/>
        </w:rPr>
        <w:lastRenderedPageBreak/>
        <w:t>interchangeability or interoperability of equipment, services or installations ordered under the basic contract</w:t>
      </w:r>
      <w:r w:rsidR="00980E87" w:rsidRPr="00FD2D90">
        <w:rPr>
          <w:rFonts w:cs="Open Sans"/>
          <w:szCs w:val="24"/>
          <w:lang w:val="en-GB"/>
        </w:rPr>
        <w:t>;</w:t>
      </w:r>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changing the contractor would cause significant inconvenience or increase the costs for the contracting authority</w:t>
      </w:r>
      <w:r w:rsidR="00980E87" w:rsidRPr="00FD2D90">
        <w:rPr>
          <w:rFonts w:cs="Open Sans"/>
          <w:szCs w:val="24"/>
          <w:lang w:val="en-GB"/>
        </w:rPr>
        <w:t>;</w:t>
      </w:r>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need to amend the contract is due to circumstances that the contracting authority, acting with due diligence, could not foresee</w:t>
      </w:r>
      <w:r w:rsidR="00980E87" w:rsidRPr="00FD2D90">
        <w:rPr>
          <w:rFonts w:cs="Open Sans"/>
          <w:szCs w:val="24"/>
          <w:lang w:val="en-GB"/>
        </w:rPr>
        <w:t>;</w:t>
      </w:r>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the contracting authority’s assumption of the contractor’s obligations towards their subcontractor – with a change of subcontractor, the contracting authority may conclude an agreement with a new subcontractor without </w:t>
      </w:r>
      <w:r w:rsidRPr="00FD2D90">
        <w:rPr>
          <w:rFonts w:cs="Open Sans"/>
          <w:szCs w:val="24"/>
          <w:lang w:val="en-GB"/>
        </w:rPr>
        <w:lastRenderedPageBreak/>
        <w:t>changing the terms of the contract, considering the payments made on account of the work completed to date</w:t>
      </w:r>
      <w:r w:rsidR="00980E87" w:rsidRPr="00FD2D90">
        <w:rPr>
          <w:rFonts w:cs="Open Sans"/>
          <w:szCs w:val="24"/>
          <w:lang w:val="en-GB"/>
        </w:rPr>
        <w:t>;</w:t>
      </w:r>
    </w:p>
    <w:p w14:paraId="3E9B3F09" w14:textId="39DF6D2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5,382,000 for construction works and EUR 140,000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content;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disturbs the economic balance of the parties to the contract in favour of the contractor in a way not envisioned in the original contract;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contract;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5" w:name="_Toc456272307"/>
      <w:bookmarkStart w:id="26" w:name="_Toc456272308"/>
      <w:bookmarkStart w:id="27" w:name="_Toc456272309"/>
      <w:bookmarkStart w:id="28" w:name="_Toc456272310"/>
      <w:bookmarkStart w:id="29" w:name="_Toc456272311"/>
      <w:bookmarkStart w:id="30" w:name="_Toc456272317"/>
      <w:bookmarkStart w:id="31" w:name="_Toc456272318"/>
      <w:bookmarkStart w:id="32" w:name="_Toc456272319"/>
      <w:bookmarkStart w:id="33" w:name="_Toc456272320"/>
      <w:bookmarkStart w:id="34" w:name="_Toc456272321"/>
      <w:bookmarkStart w:id="35" w:name="_Toc456272322"/>
      <w:bookmarkStart w:id="36" w:name="_Toc456272323"/>
      <w:bookmarkStart w:id="37" w:name="_Toc456272324"/>
      <w:bookmarkStart w:id="38" w:name="_Toc456272325"/>
      <w:bookmarkStart w:id="39" w:name="_Toc456272326"/>
      <w:bookmarkStart w:id="40" w:name="_Toc456272327"/>
      <w:bookmarkStart w:id="41" w:name="_Toc456272328"/>
      <w:bookmarkStart w:id="42" w:name="_Toc456272329"/>
      <w:bookmarkStart w:id="43" w:name="_Toc456272330"/>
      <w:bookmarkStart w:id="44" w:name="_Toc456272331"/>
      <w:bookmarkStart w:id="45" w:name="_Toc445882733"/>
      <w:bookmarkStart w:id="46" w:name="_Toc448394933"/>
      <w:bookmarkStart w:id="47" w:name="_Toc449691682"/>
      <w:bookmarkStart w:id="48" w:name="_Toc449694079"/>
      <w:bookmarkStart w:id="49" w:name="_Toc449694186"/>
      <w:bookmarkStart w:id="50" w:name="_Toc451154884"/>
      <w:bookmarkStart w:id="51" w:name="_Toc454872339"/>
      <w:bookmarkStart w:id="52" w:name="_Toc456272332"/>
      <w:bookmarkStart w:id="53" w:name="_Toc445882735"/>
      <w:bookmarkStart w:id="54" w:name="_Toc448394935"/>
      <w:bookmarkStart w:id="55" w:name="_Toc449691684"/>
      <w:bookmarkStart w:id="56" w:name="_Toc449694081"/>
      <w:bookmarkStart w:id="57" w:name="_Toc449694188"/>
      <w:bookmarkStart w:id="58" w:name="_Toc451154886"/>
      <w:bookmarkStart w:id="59" w:name="_Toc454872341"/>
      <w:bookmarkStart w:id="60" w:name="_Toc456272334"/>
      <w:bookmarkStart w:id="61" w:name="_Toc445882736"/>
      <w:bookmarkStart w:id="62" w:name="_Toc448394936"/>
      <w:bookmarkStart w:id="63" w:name="_Toc449691685"/>
      <w:bookmarkStart w:id="64" w:name="_Toc449694082"/>
      <w:bookmarkStart w:id="65" w:name="_Toc449694189"/>
      <w:bookmarkStart w:id="66" w:name="_Toc451154887"/>
      <w:bookmarkStart w:id="67" w:name="_Toc454872342"/>
      <w:bookmarkStart w:id="68" w:name="_Toc456272335"/>
      <w:bookmarkStart w:id="69" w:name="_Toc445882737"/>
      <w:bookmarkStart w:id="70" w:name="_Toc448394937"/>
      <w:bookmarkStart w:id="71" w:name="_Toc449691686"/>
      <w:bookmarkStart w:id="72" w:name="_Toc449694083"/>
      <w:bookmarkStart w:id="73" w:name="_Toc449694190"/>
      <w:bookmarkStart w:id="74" w:name="_Toc451154888"/>
      <w:bookmarkStart w:id="75" w:name="_Toc454872343"/>
      <w:bookmarkStart w:id="76" w:name="_Toc456272336"/>
      <w:bookmarkStart w:id="77" w:name="_Toc445882738"/>
      <w:bookmarkStart w:id="78" w:name="_Toc448394938"/>
      <w:bookmarkStart w:id="79" w:name="_Toc449691687"/>
      <w:bookmarkStart w:id="80" w:name="_Toc449694084"/>
      <w:bookmarkStart w:id="81" w:name="_Toc449694191"/>
      <w:bookmarkStart w:id="82" w:name="_Toc451154889"/>
      <w:bookmarkStart w:id="83" w:name="_Toc454872344"/>
      <w:bookmarkStart w:id="84" w:name="_Toc456272337"/>
      <w:bookmarkStart w:id="85" w:name="_Toc445882739"/>
      <w:bookmarkStart w:id="86" w:name="_Toc448394939"/>
      <w:bookmarkStart w:id="87" w:name="_Toc449691688"/>
      <w:bookmarkStart w:id="88" w:name="_Toc449694085"/>
      <w:bookmarkStart w:id="89" w:name="_Toc449694192"/>
      <w:bookmarkStart w:id="90" w:name="_Toc451154890"/>
      <w:bookmarkStart w:id="91" w:name="_Toc454872345"/>
      <w:bookmarkStart w:id="92" w:name="_Toc456272338"/>
      <w:bookmarkStart w:id="93" w:name="_Toc445882740"/>
      <w:bookmarkStart w:id="94" w:name="_Toc448394940"/>
      <w:bookmarkStart w:id="95" w:name="_Toc449691689"/>
      <w:bookmarkStart w:id="96" w:name="_Toc449694086"/>
      <w:bookmarkStart w:id="97" w:name="_Toc449694193"/>
      <w:bookmarkStart w:id="98" w:name="_Toc451154891"/>
      <w:bookmarkStart w:id="99" w:name="_Toc454872346"/>
      <w:bookmarkStart w:id="100" w:name="_Toc456272339"/>
      <w:bookmarkStart w:id="101" w:name="_Toc445882742"/>
      <w:bookmarkStart w:id="102" w:name="_Toc448394942"/>
      <w:bookmarkStart w:id="103" w:name="_Toc449691691"/>
      <w:bookmarkStart w:id="104" w:name="_Toc449694088"/>
      <w:bookmarkStart w:id="105" w:name="_Toc449694195"/>
      <w:bookmarkStart w:id="106" w:name="_Toc451154893"/>
      <w:bookmarkStart w:id="107" w:name="_Toc454872348"/>
      <w:bookmarkStart w:id="108" w:name="_Toc456272341"/>
      <w:bookmarkStart w:id="109" w:name="_Toc445882743"/>
      <w:bookmarkStart w:id="110" w:name="_Toc448394943"/>
      <w:bookmarkStart w:id="111" w:name="_Toc449691692"/>
      <w:bookmarkStart w:id="112" w:name="_Toc449694089"/>
      <w:bookmarkStart w:id="113" w:name="_Toc449694196"/>
      <w:bookmarkStart w:id="114" w:name="_Toc451154894"/>
      <w:bookmarkStart w:id="115" w:name="_Toc454872349"/>
      <w:bookmarkStart w:id="116" w:name="_Toc456272342"/>
      <w:bookmarkStart w:id="117" w:name="_Toc445882745"/>
      <w:bookmarkStart w:id="118" w:name="_Toc448394945"/>
      <w:bookmarkStart w:id="119" w:name="_Toc449691694"/>
      <w:bookmarkStart w:id="120" w:name="_Toc449694091"/>
      <w:bookmarkStart w:id="121" w:name="_Toc449694198"/>
      <w:bookmarkStart w:id="122" w:name="_Toc451154896"/>
      <w:bookmarkStart w:id="123" w:name="_Toc454872351"/>
      <w:bookmarkStart w:id="124" w:name="_Toc456272344"/>
      <w:bookmarkStart w:id="125" w:name="_Toc445882746"/>
      <w:bookmarkStart w:id="126" w:name="_Toc448394946"/>
      <w:bookmarkStart w:id="127" w:name="_Toc449691695"/>
      <w:bookmarkStart w:id="128" w:name="_Toc449694092"/>
      <w:bookmarkStart w:id="129" w:name="_Toc449694199"/>
      <w:bookmarkStart w:id="130" w:name="_Toc451154897"/>
      <w:bookmarkStart w:id="131" w:name="_Toc454872352"/>
      <w:bookmarkStart w:id="132" w:name="_Toc456272345"/>
      <w:bookmarkStart w:id="133" w:name="_Toc445882747"/>
      <w:bookmarkStart w:id="134" w:name="_Toc448394947"/>
      <w:bookmarkStart w:id="135" w:name="_Toc449691696"/>
      <w:bookmarkStart w:id="136" w:name="_Toc449694093"/>
      <w:bookmarkStart w:id="137" w:name="_Toc449694200"/>
      <w:bookmarkStart w:id="138" w:name="_Toc451154898"/>
      <w:bookmarkStart w:id="139" w:name="_Toc454872353"/>
      <w:bookmarkStart w:id="140" w:name="_Toc456272346"/>
      <w:bookmarkStart w:id="141" w:name="_Toc445882748"/>
      <w:bookmarkStart w:id="142" w:name="_Toc448394948"/>
      <w:bookmarkStart w:id="143" w:name="_Toc449691697"/>
      <w:bookmarkStart w:id="144" w:name="_Toc449694094"/>
      <w:bookmarkStart w:id="145" w:name="_Toc449694201"/>
      <w:bookmarkStart w:id="146" w:name="_Toc451154899"/>
      <w:bookmarkStart w:id="147" w:name="_Toc454872354"/>
      <w:bookmarkStart w:id="148" w:name="_Toc456272347"/>
      <w:bookmarkStart w:id="149" w:name="_Toc456272349"/>
      <w:bookmarkStart w:id="150" w:name="_Toc456272353"/>
      <w:bookmarkStart w:id="151" w:name="_Toc456272355"/>
      <w:bookmarkStart w:id="152" w:name="_Toc456272357"/>
      <w:bookmarkStart w:id="153" w:name="_Toc456272358"/>
      <w:bookmarkStart w:id="154" w:name="_Toc456272359"/>
      <w:bookmarkStart w:id="155" w:name="_Toc456272361"/>
      <w:bookmarkStart w:id="156" w:name="_Toc456272362"/>
      <w:bookmarkStart w:id="157" w:name="_Toc456272363"/>
      <w:bookmarkStart w:id="158" w:name="_Toc456272364"/>
      <w:bookmarkStart w:id="159" w:name="_Toc456272365"/>
      <w:bookmarkStart w:id="160" w:name="_Toc456272366"/>
      <w:bookmarkStart w:id="161" w:name="_Toc456272368"/>
      <w:bookmarkStart w:id="162" w:name="_Toc456272374"/>
      <w:bookmarkStart w:id="163" w:name="_Toc456272376"/>
      <w:bookmarkStart w:id="164" w:name="_Toc456272378"/>
      <w:bookmarkStart w:id="165" w:name="_Toc456272379"/>
      <w:bookmarkStart w:id="166" w:name="_Toc456272380"/>
      <w:bookmarkStart w:id="167" w:name="_Toc456272381"/>
      <w:bookmarkStart w:id="168" w:name="_Toc456272382"/>
      <w:bookmarkStart w:id="169" w:name="_Toc456272383"/>
      <w:bookmarkStart w:id="170" w:name="_Toc456272384"/>
      <w:bookmarkStart w:id="171" w:name="_Toc456272385"/>
      <w:bookmarkStart w:id="172" w:name="_Toc456272386"/>
      <w:bookmarkStart w:id="173" w:name="_Toc456272390"/>
      <w:bookmarkStart w:id="174" w:name="_Toc456272392"/>
      <w:bookmarkStart w:id="175" w:name="_Toc456272393"/>
      <w:bookmarkStart w:id="176" w:name="_Toc449691708"/>
      <w:bookmarkStart w:id="177" w:name="_Toc449694105"/>
      <w:bookmarkStart w:id="178" w:name="_Toc449694212"/>
      <w:bookmarkStart w:id="179" w:name="_Toc451154910"/>
      <w:bookmarkStart w:id="180" w:name="_Toc454872365"/>
      <w:bookmarkStart w:id="181" w:name="_Toc456272394"/>
      <w:bookmarkStart w:id="182" w:name="_Toc449691709"/>
      <w:bookmarkStart w:id="183" w:name="_Toc449694106"/>
      <w:bookmarkStart w:id="184" w:name="_Toc449694213"/>
      <w:bookmarkStart w:id="185" w:name="_Toc451154911"/>
      <w:bookmarkStart w:id="186" w:name="_Toc454872366"/>
      <w:bookmarkStart w:id="187" w:name="_Toc456272395"/>
      <w:bookmarkStart w:id="188" w:name="_Toc449691710"/>
      <w:bookmarkStart w:id="189" w:name="_Toc449694107"/>
      <w:bookmarkStart w:id="190" w:name="_Toc449694214"/>
      <w:bookmarkStart w:id="191" w:name="_Toc451154912"/>
      <w:bookmarkStart w:id="192" w:name="_Toc454872367"/>
      <w:bookmarkStart w:id="193" w:name="_Toc456272396"/>
      <w:bookmarkStart w:id="194" w:name="_Toc449691712"/>
      <w:bookmarkStart w:id="195" w:name="_Toc449694109"/>
      <w:bookmarkStart w:id="196" w:name="_Toc449694216"/>
      <w:bookmarkStart w:id="197" w:name="_Toc451154914"/>
      <w:bookmarkStart w:id="198" w:name="_Toc454872369"/>
      <w:bookmarkStart w:id="199" w:name="_Toc456272398"/>
      <w:bookmarkStart w:id="200" w:name="_Toc449691713"/>
      <w:bookmarkStart w:id="201" w:name="_Toc449694110"/>
      <w:bookmarkStart w:id="202" w:name="_Toc449694217"/>
      <w:bookmarkStart w:id="203" w:name="_Toc451154915"/>
      <w:bookmarkStart w:id="204" w:name="_Toc454872370"/>
      <w:bookmarkStart w:id="205" w:name="_Toc456272399"/>
      <w:bookmarkStart w:id="206" w:name="_Toc449691714"/>
      <w:bookmarkStart w:id="207" w:name="_Toc449694111"/>
      <w:bookmarkStart w:id="208" w:name="_Toc449694218"/>
      <w:bookmarkStart w:id="209" w:name="_Toc451154916"/>
      <w:bookmarkStart w:id="210" w:name="_Toc454872371"/>
      <w:bookmarkStart w:id="211" w:name="_Toc456272400"/>
      <w:bookmarkStart w:id="212" w:name="_Toc449691716"/>
      <w:bookmarkStart w:id="213" w:name="_Toc449694113"/>
      <w:bookmarkStart w:id="214" w:name="_Toc449694220"/>
      <w:bookmarkStart w:id="215" w:name="_Toc451154918"/>
      <w:bookmarkStart w:id="216" w:name="_Toc454872373"/>
      <w:bookmarkStart w:id="217" w:name="_Toc456272402"/>
      <w:bookmarkStart w:id="218" w:name="_Toc254606171"/>
      <w:bookmarkStart w:id="219" w:name="_Toc530132124"/>
      <w:bookmarkStart w:id="220" w:name="_Toc530132246"/>
      <w:bookmarkStart w:id="221" w:name="_Toc410993213"/>
      <w:bookmarkStart w:id="222" w:name="_Toc140386111"/>
      <w:bookmarkStart w:id="223" w:name="_Toc140386190"/>
      <w:bookmarkStart w:id="224" w:name="_Toc140386113"/>
      <w:bookmarkStart w:id="225" w:name="_Toc140386192"/>
      <w:bookmarkStart w:id="226" w:name="_Toc140386114"/>
      <w:bookmarkStart w:id="227" w:name="_Toc140386193"/>
      <w:bookmarkStart w:id="228" w:name="_Toc140386119"/>
      <w:bookmarkStart w:id="229" w:name="_Toc140386198"/>
      <w:bookmarkStart w:id="230" w:name="_Toc530132126"/>
      <w:bookmarkStart w:id="231" w:name="_Toc530132248"/>
      <w:bookmarkStart w:id="232" w:name="_Toc140386121"/>
      <w:bookmarkStart w:id="233" w:name="_Toc1403862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4"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4"/>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8"/>
      <w:r w:rsidRPr="00FD2D90">
        <w:rPr>
          <w:rFonts w:eastAsia="Open Sans SemiBold" w:cs="Open Sans"/>
          <w:bCs/>
          <w:lang w:val="en-US"/>
        </w:rPr>
        <w:t>1 Data Controller</w:t>
      </w:r>
      <w:bookmarkEnd w:id="235"/>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Minister of Funds and Regional Policy of the Republic of Poland, insofar as it performs the tasks of the Member State and performs the functions of the Managing Authority (MA) of the Interreg South Baltic Programme 2021-2027, with its registered office at ul. Wspólna 2/4, 00-926 Warsaw, Poland</w:t>
      </w:r>
      <w:r w:rsidR="00980E87" w:rsidRPr="00FD2D90">
        <w:rPr>
          <w:rFonts w:eastAsia="Open Sans" w:cs="Open Sans"/>
          <w:szCs w:val="24"/>
          <w:lang w:val="en-US"/>
        </w:rPr>
        <w:t>.</w:t>
      </w:r>
    </w:p>
    <w:p w14:paraId="3E0CC59C" w14:textId="39A78570"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Director of the Center for European Projects (CPE), insofar as it fulfils the functions of the Joint Secretariat for the Interreg South Baltic Programme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r w:rsidR="00A3139C" w:rsidRPr="00A3139C">
        <w:rPr>
          <w:rFonts w:eastAsia="Open Sans" w:cs="Open Sans"/>
          <w:szCs w:val="24"/>
          <w:lang w:val="en-US"/>
        </w:rPr>
        <w:t>ul. Puławska 180, 02-672 Warsaw</w:t>
      </w:r>
      <w:r w:rsidR="00A3139C">
        <w:rPr>
          <w:rFonts w:eastAsia="Open Sans" w:cs="Open Sans"/>
          <w:szCs w:val="24"/>
          <w:lang w:val="en-US"/>
        </w:rPr>
        <w:t>,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89"/>
      <w:r w:rsidRPr="00FD2D90">
        <w:rPr>
          <w:rFonts w:eastAsia="Open Sans SemiBold" w:cs="Open Sans"/>
          <w:bCs/>
          <w:lang w:val="en-US"/>
        </w:rPr>
        <w:lastRenderedPageBreak/>
        <w:t>2 Purpose of data processing</w:t>
      </w:r>
      <w:bookmarkEnd w:id="236"/>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project, in particular to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provision of data is voluntary, but necessary to fulfil the above-mentioned purpose. Refusal to provide these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0"/>
      <w:r w:rsidRPr="00FD2D90">
        <w:rPr>
          <w:rFonts w:eastAsia="Open Sans SemiBold" w:cs="Open Sans"/>
          <w:bCs/>
          <w:lang w:val="en-US"/>
        </w:rPr>
        <w:t>3 Basis for processing</w:t>
      </w:r>
      <w:bookmarkEnd w:id="237"/>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for the Asylum, Migration and Integration Fund, the Internal Security Fund and the Instrument for Financial Support for Border Management and Visa Policy</w:t>
      </w:r>
      <w:r w:rsidR="00980E87" w:rsidRPr="00FD2D90">
        <w:rPr>
          <w:rFonts w:eastAsia="Open Sans" w:cs="Open Sans"/>
          <w:szCs w:val="24"/>
          <w:lang w:val="en-US"/>
        </w:rPr>
        <w:t>;</w:t>
      </w:r>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territorial cooperation goal (Interreg) supported by the European Regional Development Fund and external financing instruments</w:t>
      </w:r>
      <w:r w:rsidR="00980E87" w:rsidRPr="00FD2D90">
        <w:rPr>
          <w:rFonts w:eastAsia="Open Sans" w:cs="Open Sans"/>
          <w:szCs w:val="24"/>
          <w:lang w:val="en-US"/>
        </w:rPr>
        <w:t>;</w:t>
      </w:r>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2021/1058 of the European Parliament and of the Council of 24 June 2021 on the European Regional Development Fund and on the Cohesion Fund</w:t>
      </w:r>
      <w:r w:rsidR="00980E87" w:rsidRPr="00FD2D90">
        <w:rPr>
          <w:rFonts w:eastAsia="Open Sans" w:cs="Open Sans"/>
          <w:szCs w:val="24"/>
          <w:lang w:val="en-US"/>
        </w:rPr>
        <w:t>;</w:t>
      </w:r>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organisation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1"/>
      <w:r w:rsidRPr="00FD2D90">
        <w:rPr>
          <w:rFonts w:eastAsia="Open Sans SemiBold" w:cs="Open Sans"/>
          <w:bCs/>
          <w:lang w:val="en-US"/>
        </w:rPr>
        <w:t>4 Types of processed data</w:t>
      </w:r>
      <w:bookmarkEnd w:id="238"/>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2"/>
      <w:r w:rsidRPr="00FD2D90">
        <w:rPr>
          <w:rFonts w:eastAsia="Open Sans SemiBold" w:cs="Open Sans"/>
          <w:bCs/>
          <w:lang w:val="en-US"/>
        </w:rPr>
        <w:t>5 Access to personal data</w:t>
      </w:r>
      <w:bookmarkEnd w:id="239"/>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3"/>
      <w:r w:rsidRPr="00FD2D90">
        <w:rPr>
          <w:rFonts w:eastAsia="Open Sans SemiBold" w:cs="Open Sans"/>
          <w:bCs/>
          <w:lang w:val="en-US"/>
        </w:rPr>
        <w:t>6 Data storage period</w:t>
      </w:r>
      <w:bookmarkEnd w:id="240"/>
    </w:p>
    <w:p w14:paraId="601FD30E"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4"/>
      <w:r w:rsidRPr="00FD2D90">
        <w:rPr>
          <w:rFonts w:eastAsia="Open Sans SemiBold" w:cs="Open Sans"/>
          <w:bCs/>
          <w:lang w:val="en-US"/>
        </w:rPr>
        <w:t>7 Data subjects’ rights</w:t>
      </w:r>
      <w:bookmarkEnd w:id="241"/>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5"/>
      <w:r w:rsidRPr="00FD2D90">
        <w:rPr>
          <w:rFonts w:eastAsia="Open Sans SemiBold" w:cs="Open Sans"/>
          <w:bCs/>
          <w:lang w:val="en-US"/>
        </w:rPr>
        <w:t>8 Automated decision-making</w:t>
      </w:r>
      <w:bookmarkEnd w:id="242"/>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6"/>
      <w:r w:rsidRPr="00FD2D90">
        <w:rPr>
          <w:rFonts w:eastAsia="Open Sans SemiBold" w:cs="Open Sans"/>
          <w:bCs/>
          <w:lang w:val="en-US"/>
        </w:rPr>
        <w:t>9 Transfer to third countries</w:t>
      </w:r>
      <w:bookmarkEnd w:id="243"/>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Programme. In the case of this Programme,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4" w:name="_Toc147386497"/>
      <w:r w:rsidRPr="00FD2D90">
        <w:rPr>
          <w:rFonts w:eastAsia="Open Sans SemiBold" w:cs="Open Sans"/>
          <w:bCs/>
          <w:lang w:val="en-US"/>
        </w:rPr>
        <w:t>10 Contact with the Data Collector and the Data Protection Officer</w:t>
      </w:r>
      <w:bookmarkEnd w:id="244"/>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(ul. Wspólna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Center for European Projects:</w:t>
      </w:r>
    </w:p>
    <w:p w14:paraId="52B01187" w14:textId="42E68F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r w:rsidR="00A3139C" w:rsidRPr="00A3139C">
        <w:rPr>
          <w:rFonts w:eastAsia="Open Sans" w:cs="Open Sans"/>
          <w:szCs w:val="24"/>
          <w:lang w:val="en-US"/>
        </w:rPr>
        <w:t>ul. Puławska 180, 02-672 Warsaw.</w:t>
      </w:r>
      <w:r w:rsidRPr="00FD2D90">
        <w:rPr>
          <w:rFonts w:eastAsia="Open Sans" w:cs="Open Sans"/>
          <w:szCs w:val="24"/>
          <w:lang w:val="en-US"/>
        </w:rPr>
        <w:t>,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5" w:name="_Toc147386498"/>
      <w:r w:rsidRPr="00FD2D90">
        <w:rPr>
          <w:rFonts w:ascii="Open Sans SemiBold" w:eastAsia="Open Sans SemiBold" w:hAnsi="Open Sans SemiBold" w:cs="Open Sans SemiBold"/>
          <w:szCs w:val="24"/>
          <w:lang w:val="en-US"/>
        </w:rPr>
        <w:lastRenderedPageBreak/>
        <w:t>ANNEX 5 Complaint procedure and template</w:t>
      </w:r>
      <w:bookmarkEnd w:id="245"/>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with regard to compliance with the project assessment procedures laid out for the particular call for proposals. No changes submitted by the lead partner in relation to the content of the Application Form or the attachments to the application will be taken into account during consideration of the complaint. Any documents submitted by the lead partner after the completion date of the project assessment will not be taken into account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Programme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DC7B3F"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Name of the legally authorised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(Clearly justified reasons for the complaint, e.g., failures or mistakes that happened during the assessment of the project and references to the Programme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r w:rsidRPr="00FD2D90">
              <w:rPr>
                <w:rFonts w:cs="Open Sans"/>
                <w:lang w:val="en-US"/>
              </w:rPr>
              <w:t>authorised</w:t>
            </w:r>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DC7B3F"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r w:rsidRPr="00FD2D90">
              <w:rPr>
                <w:rFonts w:cs="Open Sans"/>
                <w:bCs/>
                <w:iCs/>
                <w:szCs w:val="24"/>
                <w:lang w:val="en-US"/>
              </w:rPr>
              <w:t>lled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The complaint is considered justi</w:t>
            </w:r>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Short justi</w:t>
            </w:r>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r w:rsidRPr="00FD2D90">
              <w:rPr>
                <w:rFonts w:cs="Open Sans"/>
                <w:iCs/>
                <w:szCs w:val="24"/>
                <w:lang w:val="en-US"/>
              </w:rPr>
              <w:t>lled in if the complaint is considered justi</w:t>
            </w:r>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6" w:name="_Toc147386499"/>
      <w:r w:rsidRPr="00A4351B">
        <w:rPr>
          <w:rStyle w:val="Heading2Char"/>
          <w:lang w:val="en-US"/>
        </w:rPr>
        <w:lastRenderedPageBreak/>
        <w:t>ANNEX 6 Project selection process and criteria</w:t>
      </w:r>
      <w:bookmarkEnd w:id="246"/>
      <w:r w:rsidR="001B31A3" w:rsidRPr="00B5101C">
        <w:rPr>
          <w:lang w:val="en-US"/>
        </w:rPr>
        <w:br/>
      </w:r>
      <w:r w:rsidR="001B31A3" w:rsidRPr="00B5101C">
        <w:rPr>
          <w:lang w:val="en-US"/>
        </w:rPr>
        <w:br/>
      </w:r>
      <w:r w:rsidR="00364DE3" w:rsidRPr="005A78C7">
        <w:rPr>
          <w:lang w:val="en-US"/>
        </w:rPr>
        <w:t>The assessment of received applications follows a standardised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7" w:name="_Toc147386500"/>
      <w:r w:rsidRPr="005A78C7">
        <w:rPr>
          <w:lang w:val="en-US"/>
        </w:rPr>
        <w:t>1 Admissibility and eligibility check</w:t>
      </w:r>
      <w:bookmarkEnd w:id="247"/>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8" w:name="_Hlk117160860"/>
      <w:r w:rsidRPr="00FD2D90">
        <w:rPr>
          <w:lang w:val="en-US"/>
        </w:rPr>
        <w:t>Declaration of compliance with the DNSH principle</w:t>
      </w:r>
      <w:bookmarkEnd w:id="248"/>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The annexes to the Application Form are signed, where necessary, by the authorised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FD2D90" w:rsidRDefault="00364DE3" w:rsidP="00397F38">
      <w:pPr>
        <w:spacing w:line="360" w:lineRule="auto"/>
        <w:rPr>
          <w:lang w:val="en-US"/>
        </w:rPr>
      </w:pPr>
      <w:r w:rsidRPr="00FD2D90">
        <w:rPr>
          <w:lang w:val="en-US"/>
        </w:rPr>
        <w:t>The lead partner is an eligible organisation.</w:t>
      </w:r>
    </w:p>
    <w:p w14:paraId="6895820D" w14:textId="77777777" w:rsidR="003F3C4A" w:rsidRPr="00FD2D90" w:rsidRDefault="00364DE3" w:rsidP="00397F38">
      <w:pPr>
        <w:spacing w:line="360" w:lineRule="auto"/>
        <w:rPr>
          <w:lang w:val="en-US"/>
        </w:rPr>
      </w:pPr>
      <w:r w:rsidRPr="00FD2D90">
        <w:rPr>
          <w:lang w:val="en-US"/>
        </w:rPr>
        <w:t>All project partners are eligible organisations.</w:t>
      </w:r>
    </w:p>
    <w:p w14:paraId="6E2C26E0" w14:textId="7B117A80" w:rsidR="00364DE3" w:rsidRPr="00FD2D90" w:rsidRDefault="00364DE3" w:rsidP="00397F38">
      <w:pPr>
        <w:spacing w:line="360" w:lineRule="auto"/>
        <w:rPr>
          <w:lang w:val="en-US"/>
        </w:rPr>
      </w:pPr>
      <w:r w:rsidRPr="00FD2D90">
        <w:rPr>
          <w:lang w:val="en-US"/>
        </w:rPr>
        <w:t>The project fulfils the minimum requirements for partnership (at least 2 eligible partners from the Programme Area from 2 different Member States).</w:t>
      </w:r>
    </w:p>
    <w:p w14:paraId="2EDC4BCC" w14:textId="42538062" w:rsidR="00364DE3" w:rsidRPr="00FD2D90" w:rsidRDefault="00364DE3" w:rsidP="00397F38">
      <w:pPr>
        <w:spacing w:line="360" w:lineRule="auto"/>
        <w:rPr>
          <w:lang w:val="en-US"/>
        </w:rPr>
      </w:pPr>
      <w:r w:rsidRPr="00FD2D90">
        <w:rPr>
          <w:lang w:val="en-US"/>
        </w:rPr>
        <w:t>Project is assigned to Programme Priority, its Measure contributes to at least one Programme obligatory output and relevant to this output’s result indicator.</w:t>
      </w:r>
    </w:p>
    <w:p w14:paraId="00E9F527" w14:textId="77777777" w:rsidR="00BF3541" w:rsidRPr="00FD2D90" w:rsidRDefault="00364DE3" w:rsidP="00397F38">
      <w:pPr>
        <w:spacing w:line="360" w:lineRule="auto"/>
        <w:rPr>
          <w:lang w:val="en-US"/>
        </w:rPr>
      </w:pPr>
      <w:r w:rsidRPr="00FD2D90">
        <w:rPr>
          <w:lang w:val="en-US"/>
        </w:rPr>
        <w:t>Co-financing is secured, in line with the Programme thresholds and project Application Form</w:t>
      </w:r>
      <w:r w:rsidR="0080607D" w:rsidRPr="00FD2D90">
        <w:rPr>
          <w:lang w:val="en-US"/>
        </w:rPr>
        <w:t>.</w:t>
      </w:r>
      <w:r w:rsidR="00BF3541" w:rsidRPr="00FD2D90">
        <w:rPr>
          <w:lang w:val="en-US"/>
        </w:rPr>
        <w:br/>
      </w:r>
      <w:r w:rsidR="00BF3541" w:rsidRPr="00FD2D90">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According to the Programme Manual, each project partner should have sufficient financial, management and organisational capacities in order to be deemed eligible to participate in the project co-financed by the Programme.</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DC7B3F"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t>Private organisations (SMEs):</w:t>
            </w:r>
            <w:bookmarkStart w:id="249"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9"/>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50" w:name="_Toc146615978"/>
            <w:r w:rsidRPr="0065242F">
              <w:rPr>
                <w:rFonts w:eastAsia="Open Sans" w:cs="Open Sans"/>
                <w:szCs w:val="24"/>
                <w:lang w:val="en-US"/>
              </w:rPr>
              <w:lastRenderedPageBreak/>
              <w:t>Annual turnover is assessed against the partner’s own contribution concluding if the project partner has the capacity to cover the own contribution within the project duration.</w:t>
            </w:r>
            <w:bookmarkEnd w:id="250"/>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1"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1"/>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A positive operating profit reflects the overall health of the organisation within the given time period.</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Private organisations (non-profit oriented organisations):</w:t>
            </w:r>
            <w:bookmarkStart w:id="252"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3" w:name="_Toc146615988"/>
            <w:bookmarkEnd w:id="252"/>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3"/>
            <w:r>
              <w:rPr>
                <w:rFonts w:eastAsia="Open Sans" w:cs="Open Sans"/>
                <w:szCs w:val="24"/>
                <w:lang w:val="en-US"/>
              </w:rPr>
              <w:br/>
            </w:r>
            <w:bookmarkStart w:id="254" w:name="_Toc146615989"/>
            <w:r w:rsidRPr="00FC6CE5">
              <w:rPr>
                <w:rFonts w:eastAsia="Open Sans" w:cs="Open Sans"/>
                <w:b/>
                <w:bCs/>
                <w:szCs w:val="24"/>
                <w:lang w:val="en-US"/>
              </w:rPr>
              <w:t>Total annual income / Partner's budget share</w:t>
            </w:r>
            <w:bookmarkStart w:id="255" w:name="_Toc146615990"/>
            <w:bookmarkEnd w:id="254"/>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 xml:space="preserve">Total annual income is assessed against the partner’s total budget share concluding if the project partner has the capacity to finance the planned </w:t>
            </w:r>
            <w:r w:rsidRPr="00FC6CE5">
              <w:rPr>
                <w:rFonts w:eastAsia="Open Sans" w:cs="Open Sans"/>
                <w:szCs w:val="24"/>
                <w:lang w:val="en-US"/>
              </w:rPr>
              <w:lastRenderedPageBreak/>
              <w:t>project activities and ensure their smooth and timely implementation.</w:t>
            </w:r>
            <w:bookmarkEnd w:id="255"/>
            <w:r>
              <w:rPr>
                <w:rFonts w:eastAsia="Open Sans" w:cs="Open Sans"/>
                <w:szCs w:val="24"/>
                <w:lang w:val="en-US"/>
              </w:rPr>
              <w:br/>
            </w:r>
            <w:bookmarkStart w:id="256" w:name="_Toc146615991"/>
            <w:r w:rsidRPr="00FC6CE5">
              <w:rPr>
                <w:rFonts w:eastAsia="Open Sans" w:cs="Open Sans"/>
                <w:b/>
                <w:bCs/>
                <w:szCs w:val="24"/>
                <w:lang w:val="en-US"/>
              </w:rPr>
              <w:t>Sources of financing</w:t>
            </w:r>
            <w:bookmarkEnd w:id="256"/>
            <w:r w:rsidRPr="00FC6CE5">
              <w:rPr>
                <w:rFonts w:eastAsia="Open Sans" w:cs="Open Sans"/>
                <w:b/>
                <w:bCs/>
                <w:szCs w:val="24"/>
                <w:lang w:val="en-US"/>
              </w:rPr>
              <w:br/>
            </w:r>
            <w:bookmarkStart w:id="257"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7"/>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It is recommended to consult the formed partnerships with the Contact Points of the Programme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organisational and/or management capabilities to implement the project.</w:t>
      </w:r>
      <w:r w:rsidR="00FC6CE5">
        <w:rPr>
          <w:lang w:val="en-US"/>
        </w:rPr>
        <w:br/>
      </w:r>
      <w:r w:rsidR="00364DE3" w:rsidRPr="00FD2D90">
        <w:rPr>
          <w:lang w:val="en-US"/>
        </w:rPr>
        <w:t>Within the admissibility and eligibility check, it is possible to supplement and/or correct the submitted application at the Joint Secretariat’s request (e.g., wrong signatory on the Partner Declaration). The JS also reserves also the right to request any partner to submit additional documents during the assessment process to verify their eligibility under the Programme rules. In this case, the JS will send the lead partner an official request via email to provide additional information and/or corrections.</w:t>
      </w:r>
      <w:r w:rsidR="00FC6CE5">
        <w:rPr>
          <w:lang w:val="en-US"/>
        </w:rPr>
        <w:br/>
      </w:r>
      <w:r w:rsidR="00364DE3" w:rsidRPr="00FD2D90">
        <w:rPr>
          <w:lang w:val="en-US"/>
        </w:rPr>
        <w:lastRenderedPageBreak/>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recognised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t xml:space="preserve">Only the proposals that fulfil the above requirements (identified inconsistencies have been corrected, if relevant), are forwarded for the State aid and quality </w:t>
      </w:r>
      <w:r w:rsidR="00364DE3" w:rsidRPr="00FD2D90">
        <w:rPr>
          <w:lang w:val="en-US"/>
        </w:rPr>
        <w:lastRenderedPageBreak/>
        <w:t>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77777777" w:rsidR="00364DE3" w:rsidRPr="00FD2D90" w:rsidRDefault="00364DE3" w:rsidP="002A7EC9">
      <w:pPr>
        <w:spacing w:line="360" w:lineRule="auto"/>
        <w:rPr>
          <w:bCs/>
          <w:lang w:val="en-US"/>
        </w:rPr>
      </w:pPr>
      <w:r w:rsidRPr="00FD2D90">
        <w:rPr>
          <w:lang w:val="en-US"/>
        </w:rPr>
        <w:t>The State aid assessment is aimed at checking the State aid relevance of a project proposal. State aid assessment is carried out by independent external experts in line with the provisions included in Programme Manual Chapter IV Section 9 State aid.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The quality assessment of each project proposal is performed by two JS staff and independent external experts. The experts are assigned with a view to the special thematic knowledge needed to assess the given project. Their expertise complements the project and programme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t xml:space="preserve">Strategic assessment criteria – assess the relevance of the project proposal in relation to the specific territorial challenge/needs and to the Programme Measure. Furthermore, the cross- border character, including cross-border added </w:t>
      </w:r>
      <w:r w:rsidRPr="00FD2D90">
        <w:rPr>
          <w:lang w:val="en-US"/>
        </w:rPr>
        <w:lastRenderedPageBreak/>
        <w:t>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DC7B3F"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How well is the need for the project justi</w:t>
            </w:r>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If and to what extent the project addresses common territorial challenges or opportunities/joint assets of the Programme area (there is a real need for the project, which is well explained and justi</w:t>
            </w:r>
            <w:r w:rsidRPr="00986C27">
              <w:rPr>
                <w:rFonts w:eastAsia="Open Sans" w:cs="Open Sans"/>
                <w:szCs w:val="24"/>
              </w:rPr>
              <w:t>ﬁ</w:t>
            </w:r>
            <w:r w:rsidRPr="00986C27">
              <w:rPr>
                <w:rFonts w:eastAsia="Open Sans" w:cs="Open Sans"/>
                <w:szCs w:val="24"/>
                <w:lang w:val="en-US"/>
              </w:rPr>
              <w:t>ed), if the target groups are speci</w:t>
            </w:r>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How relevant is the project objective in relation to the targeted Programme Measure and corresponding Speci</w:t>
            </w:r>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If the project makes use of available knowledge and builds on existing practices or other projects (and capitalise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t>If the project tries to avoid overlaps and replications;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 xml:space="preserve">If and to what extent the project demonstrates new solutions that go beyond the existing practice in the sector/Programme area/participating </w:t>
            </w:r>
            <w:r w:rsidRPr="00986C27">
              <w:rPr>
                <w:rFonts w:eastAsia="Open Sans" w:cs="Open Sans"/>
                <w:szCs w:val="24"/>
                <w:lang w:val="en-US"/>
              </w:rPr>
              <w:lastRenderedPageBreak/>
              <w:t>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t from cooperating for the project partners, target groups, project area, Programme area.</w:t>
            </w:r>
            <w:r w:rsidR="00FF57FD" w:rsidRPr="008005A8">
              <w:rPr>
                <w:rFonts w:eastAsia="Open Sans" w:cs="Open Sans"/>
                <w:szCs w:val="24"/>
                <w:lang w:val="en-US"/>
              </w:rPr>
              <w:br/>
            </w:r>
            <w:r w:rsidR="00FF57FD" w:rsidRPr="00986C27">
              <w:rPr>
                <w:rFonts w:eastAsia="Open Sans" w:cs="Open Sans"/>
                <w:szCs w:val="24"/>
                <w:lang w:val="en-US"/>
              </w:rPr>
              <w:t>Are the cooperation criteria (joint development, joint implementation, joint sta</w:t>
            </w:r>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r w:rsidR="00FF57FD" w:rsidRPr="00986C27">
              <w:rPr>
                <w:rFonts w:eastAsia="Open Sans" w:cs="Open Sans"/>
                <w:szCs w:val="24"/>
                <w:lang w:val="en-US"/>
              </w:rPr>
              <w:t>nancing) ful</w:t>
            </w:r>
            <w:r w:rsidR="00FF57FD" w:rsidRPr="00986C27">
              <w:rPr>
                <w:rFonts w:eastAsia="Open Sans" w:cs="Open Sans"/>
                <w:szCs w:val="24"/>
              </w:rPr>
              <w:t>ﬁ</w:t>
            </w:r>
            <w:r w:rsidR="00FF57FD" w:rsidRPr="00986C27">
              <w:rPr>
                <w:rFonts w:eastAsia="Open Sans" w:cs="Open Sans"/>
                <w:szCs w:val="24"/>
                <w:lang w:val="en-US"/>
              </w:rPr>
              <w:t>lled?</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Is the project objective speci</w:t>
            </w:r>
            <w:r w:rsidRPr="00986C27">
              <w:rPr>
                <w:rFonts w:cs="Open Sans"/>
                <w:szCs w:val="24"/>
              </w:rPr>
              <w:t>ﬁ</w:t>
            </w:r>
            <w:r w:rsidRPr="00986C27">
              <w:rPr>
                <w:rFonts w:cs="Open Sans"/>
                <w:szCs w:val="24"/>
                <w:lang w:val="en-US"/>
              </w:rPr>
              <w:t>c, realistic, and achievable?</w:t>
            </w:r>
            <w:r w:rsidRPr="00986C27">
              <w:rPr>
                <w:rFonts w:cs="Open Sans"/>
                <w:szCs w:val="24"/>
                <w:lang w:val="en-US"/>
              </w:rPr>
              <w:br/>
              <w:t>To what extent will the project contribute to achieving the Programme’s output and result indicators?</w:t>
            </w:r>
            <w:r w:rsidRPr="00986C27">
              <w:rPr>
                <w:rFonts w:cs="Open Sans"/>
                <w:szCs w:val="24"/>
                <w:lang w:val="en-US"/>
              </w:rPr>
              <w:br/>
            </w:r>
            <w:r w:rsidRPr="00986C27">
              <w:rPr>
                <w:rFonts w:eastAsia="Open Sans" w:cs="Open Sans"/>
                <w:szCs w:val="24"/>
                <w:lang w:val="en-US"/>
              </w:rPr>
              <w:t>The project outputs clearly link to Programme output indicators and their contribution to programme targets is su</w:t>
            </w:r>
            <w:r w:rsidRPr="00986C27">
              <w:rPr>
                <w:rFonts w:eastAsia="Open Sans" w:cs="Open Sans"/>
                <w:szCs w:val="24"/>
              </w:rPr>
              <w:t>ﬃ</w:t>
            </w:r>
            <w:r w:rsidRPr="00986C27">
              <w:rPr>
                <w:rFonts w:eastAsia="Open Sans" w:cs="Open Sans"/>
                <w:szCs w:val="24"/>
                <w:lang w:val="en-US"/>
              </w:rPr>
              <w:t>cient.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project’s contribution to the Programme result indicators are su</w:t>
            </w:r>
            <w:r w:rsidRPr="00986C27">
              <w:rPr>
                <w:rFonts w:eastAsia="Open Sans" w:cs="Open Sans"/>
                <w:szCs w:val="24"/>
              </w:rPr>
              <w:t>ﬃ</w:t>
            </w:r>
            <w:r w:rsidRPr="008005A8">
              <w:rPr>
                <w:rFonts w:eastAsia="Open Sans" w:cs="Open Sans"/>
                <w:szCs w:val="24"/>
                <w:lang w:val="en-US"/>
              </w:rPr>
              <w:t>cient.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 outputs and results are realistic in quanti</w:t>
            </w:r>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lastRenderedPageBreak/>
              <w:t>To what extent will the project outputs have an impact beyond the project lifetime?</w:t>
            </w:r>
            <w:r w:rsidRPr="00986C27">
              <w:rPr>
                <w:rFonts w:cs="Open Sans"/>
                <w:szCs w:val="24"/>
                <w:lang w:val="en-US"/>
              </w:rPr>
              <w:br/>
            </w:r>
            <w:r w:rsidRPr="00986C27">
              <w:rPr>
                <w:rFonts w:eastAsia="Open Sans" w:cs="Open Sans"/>
                <w:szCs w:val="24"/>
                <w:lang w:val="en-US"/>
              </w:rPr>
              <w:t>The project outputs are durable (the proposal is expected to provide a signi</w:t>
            </w:r>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The project outputs are applicable and replicable by other organisations/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is balanced with respect to the levels, sectors, territory;</w:t>
            </w:r>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Partner organisations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 xml:space="preserve">If the project justiﬁcation contains an analysis of the barriers and needs of </w:t>
            </w:r>
            <w:r w:rsidRPr="00986C27">
              <w:rPr>
                <w:rFonts w:eastAsia="Open Sans" w:cs="Open Sans"/>
                <w:szCs w:val="24"/>
                <w:lang w:val="en-US"/>
              </w:rPr>
              <w:lastRenderedPageBreak/>
              <w:t>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planned activities in the area of project promotion include building a message free from gender stereotypes, using gender-sensitive 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DC7B3F"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activities, deliverables and outputs are in a logical time-sequence.</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The importance of the investments and theircross-border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lastRenderedPageBreak/>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r w:rsidRPr="00986C27">
              <w:rPr>
                <w:rFonts w:eastAsia="Open Sans" w:cs="Open Sans"/>
                <w:szCs w:val="24"/>
                <w:lang w:val="en-US"/>
              </w:rPr>
              <w:t>cient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The cost category speci</w:t>
            </w:r>
            <w:r w:rsidRPr="00986C27">
              <w:rPr>
                <w:rFonts w:cs="Open Sans"/>
                <w:szCs w:val="24"/>
              </w:rPr>
              <w:t>ﬁ</w:t>
            </w:r>
            <w:r w:rsidRPr="00986C27">
              <w:rPr>
                <w:rFonts w:cs="Open Sans"/>
                <w:szCs w:val="24"/>
                <w:lang w:val="en-US"/>
              </w:rPr>
              <w:t>cations (external services, equipment, infrastructure, and work) are justi</w:t>
            </w:r>
            <w:r w:rsidRPr="00986C27">
              <w:rPr>
                <w:rFonts w:cs="Open Sans"/>
                <w:szCs w:val="24"/>
              </w:rPr>
              <w:t>ﬁ</w:t>
            </w:r>
            <w:r w:rsidRPr="00986C27">
              <w:rPr>
                <w:rFonts w:cs="Open Sans"/>
                <w:szCs w:val="24"/>
                <w:lang w:val="en-US"/>
              </w:rPr>
              <w:t>ed, and costs seem realistic.</w:t>
            </w:r>
            <w:r w:rsidRPr="00986C27">
              <w:rPr>
                <w:rFonts w:cs="Open Sans"/>
                <w:szCs w:val="24"/>
                <w:lang w:val="en-US"/>
              </w:rPr>
              <w:br/>
              <w:t xml:space="preserve">The application of SCOs (i.e, lump sums, flat rates, and unit costs (if applicable)) is appropriate and in line with the Programme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 xml:space="preserve">The assessors are requested to provide points in each criterion with justification for their assessment for each criterion separately. Each criterion is evaluated </w:t>
      </w:r>
      <w:r w:rsidRPr="00FD2D90">
        <w:rPr>
          <w:rFonts w:ascii="Open Sans" w:eastAsia="Open Sans" w:hAnsi="Open Sans" w:cs="Open Sans"/>
          <w:color w:val="auto"/>
          <w:sz w:val="24"/>
          <w:lang w:eastAsia="en-US"/>
        </w:rPr>
        <w:lastRenderedPageBreak/>
        <w:t>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DC7B3F"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On the basis of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The final outcome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Apart from presenting the points, the consolidated assessment also includes the main arguments justifying the points given and the overall evaluation of the strengths and weaknesses of the project proposal. If significant differences in points are given, the JS moderates the process of finding a common view on the project among the assessors.</w:t>
      </w:r>
    </w:p>
    <w:p w14:paraId="70D43AE1" w14:textId="4DB9C66C"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The projects will be placed </w:t>
      </w:r>
      <w:r w:rsidR="00A3139C">
        <w:rPr>
          <w:rFonts w:eastAsia="Open Sans" w:cs="Open Sans"/>
          <w:szCs w:val="24"/>
          <w:lang w:val="en-US"/>
        </w:rPr>
        <w:t>o</w:t>
      </w:r>
      <w:r w:rsidRPr="00AA6E17">
        <w:rPr>
          <w:rFonts w:eastAsia="Open Sans" w:cs="Open Sans"/>
          <w:szCs w:val="24"/>
          <w:lang w:val="en-US"/>
        </w:rPr>
        <w:t>n the ranking list of projects and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1E2CCC7B" w14:textId="11B92601"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w:t>
      </w:r>
      <w:r w:rsidR="00A3139C">
        <w:rPr>
          <w:rFonts w:eastAsia="Open Sans" w:cs="Open Sans"/>
          <w:szCs w:val="24"/>
          <w:lang w:val="en-US"/>
        </w:rPr>
        <w:t xml:space="preserve"> presented to the Monitoring Committee</w:t>
      </w:r>
      <w:r w:rsidRPr="00AA6E17">
        <w:rPr>
          <w:rFonts w:eastAsia="Open Sans" w:cs="Open Sans"/>
          <w:szCs w:val="24"/>
          <w:lang w:val="en-US"/>
        </w:rPr>
        <w:t xml:space="preserve"> and the projects’ consolidated assessments shall serve as supporting documents for the Monitoring Committee decisions.</w:t>
      </w:r>
    </w:p>
    <w:p w14:paraId="37AD39E4"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If a project fails to meet any of the above thresholds, it will be presented to the Monitoring Committee in the separate ranking list.</w:t>
      </w:r>
    </w:p>
    <w:p w14:paraId="0B92A3F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has the strongest weight; it is something critical and must happen for the project to obtain a sufficient quality rating to be approved for funding. It is obligatory for the project to fulfil the condition before the project is finally 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lastRenderedPageBreak/>
        <w:t>Recommendation</w:t>
      </w:r>
      <w:r w:rsidRPr="00FD2D90">
        <w:rPr>
          <w:rFonts w:eastAsia="Open Sans" w:cs="Open Sans"/>
          <w:szCs w:val="24"/>
          <w:lang w:val="en-US"/>
        </w:rPr>
        <w:t xml:space="preserve"> – has a suggestive nature; it is something that could happen to enrich project’s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8" w:name="_Toc147386501"/>
      <w:r w:rsidRPr="00FD2D90">
        <w:rPr>
          <w:rFonts w:eastAsia="Open Sans SemiBold" w:cs="Open Sans"/>
          <w:bCs/>
          <w:lang w:val="en-US"/>
        </w:rPr>
        <w:t>3 Strategic projects</w:t>
      </w:r>
      <w:bookmarkEnd w:id="258"/>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(Programme Manual, Chapter III, Section 1.2 Project types):</w:t>
      </w:r>
    </w:p>
    <w:p w14:paraId="4E7E7B99" w14:textId="3E9809A1"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Involvement partners from all five Member States of the Programme is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The projects that best fulfil the potential for strategic projects will be recommended to the Monitoring Committee to grant the label of Operation of Strategic Importance for the Programme. If the project did not apply for the strategic project label within the application process but clearly fulfils the provisions, granting the label may be offered to the project by the MC within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9" w:name="_Toc147386502"/>
      <w:r w:rsidR="007A0EA1" w:rsidRPr="00B36BE1">
        <w:rPr>
          <w:lang w:val="en-US"/>
        </w:rPr>
        <w:lastRenderedPageBreak/>
        <w:t>ANNEX 7 Indicator factsheet</w:t>
      </w:r>
      <w:bookmarkEnd w:id="259"/>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purpose of this factsheet is to provide detailed guidance for beneficiaries on the use of the Programme indicators in projects. Projects must define their own project output and result indicators that fall under the scope of the corresponding Programme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DC7B3F"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organisations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RCO87 – Organisations cooperating across borders (obligatory)</w:t>
            </w:r>
            <w:r>
              <w:rPr>
                <w:rFonts w:cs="Open Sans"/>
                <w:szCs w:val="24"/>
                <w:lang w:val="en-US"/>
              </w:rPr>
              <w:br/>
            </w:r>
            <w:r w:rsidR="00415AE4" w:rsidRPr="00415AE4">
              <w:rPr>
                <w:rFonts w:cs="Open Sans"/>
                <w:szCs w:val="24"/>
                <w:lang w:val="en-US"/>
              </w:rPr>
              <w:t>RCO116 – Jointly developed solutions (obligatory) RCO87 – Organisations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RCR104 – Solutions taken up or upscaled by organisations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RCO87 – Organisations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Organisations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Organisations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60" w:name="Output_indicators"/>
      <w:bookmarkStart w:id="261" w:name="_Toc147386503"/>
      <w:r w:rsidRPr="00FD2D90">
        <w:t>1 Output indicators</w:t>
      </w:r>
      <w:bookmarkEnd w:id="260"/>
      <w:bookmarkEnd w:id="261"/>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2" w:name="RCO01"/>
            <w:r w:rsidRPr="00FD2D90">
              <w:rPr>
                <w:rFonts w:eastAsia="Open Sans" w:cs="Open Sans"/>
                <w:b/>
                <w:szCs w:val="24"/>
              </w:rPr>
              <w:t>RCO01</w:t>
            </w:r>
            <w:bookmarkEnd w:id="262"/>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DC7B3F"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DC7B3F"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RCO01 is an umbrella indicator that sums up the values of RCO02 and RCO04 in projects without capturing any additional information. Its achieved value is calculated by the Programme based on the achieved values of RCO02 and RCO04 in projects.</w:t>
            </w:r>
          </w:p>
        </w:tc>
      </w:tr>
      <w:tr w:rsidR="00FD2D90" w:rsidRPr="00DC7B3F"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3" w:name="RCO02"/>
            <w:r w:rsidRPr="00FD2D90">
              <w:rPr>
                <w:rFonts w:eastAsia="Open Sans" w:cs="Open Sans"/>
                <w:b/>
                <w:szCs w:val="24"/>
              </w:rPr>
              <w:t>RCO02</w:t>
            </w:r>
            <w:bookmarkEnd w:id="263"/>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DC7B3F"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DC7B3F"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DC7B3F"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DC7B3F"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taken into account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Double counting is monitored and removed at the level of the Programme Measure by the JS. Those enterprises that are involved as project partners in more projects under the same Measure will be counted only once at the Programme level.</w:t>
            </w:r>
          </w:p>
        </w:tc>
      </w:tr>
      <w:tr w:rsidR="00FD2D90" w:rsidRPr="00DC7B3F"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Programme.</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join the project partnership during the project implementation and receive reimbursement from the Programme.</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DC7B3F"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DC7B3F"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DC7B3F"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DC7B3F"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DC7B3F"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DC7B3F"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Double counting is removed at the level of the Programme Measure by the JS. An enterprise is counted once regardless of how many times it receives support from projects in the same Programme Measure.</w:t>
            </w:r>
          </w:p>
        </w:tc>
      </w:tr>
      <w:tr w:rsidR="00FD2D90" w:rsidRPr="00DC7B3F"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SMEs participating in a complex training programme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Enterprises participating in a programme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DC7B3F"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whose only interaction with the project is participation in a conference organised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4" w:name="RCO14"/>
            <w:r w:rsidRPr="00FD2D90">
              <w:rPr>
                <w:b/>
                <w:szCs w:val="24"/>
              </w:rPr>
              <w:t>RCO14</w:t>
            </w:r>
            <w:bookmarkEnd w:id="264"/>
          </w:p>
        </w:tc>
      </w:tr>
      <w:tr w:rsidR="00FD2D90" w:rsidRPr="00DC7B3F"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DC7B3F"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DC7B3F"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r w:rsidRPr="00FD2D90">
              <w:rPr>
                <w:szCs w:val="24"/>
              </w:rPr>
              <w:t>Number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To contribute to RCO14, the respective public institution must be located within the Programme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Programme</w:t>
            </w:r>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authority located in the capital city or regional authority located in the regional centre).</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The support is to be materialised in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DC7B3F"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DC7B3F"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The achieved value of RCO14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taken into account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Double counting is removed at the level of the Programme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regardless of how many times it receives support from projects in the same Programme Measure.</w:t>
            </w:r>
          </w:p>
        </w:tc>
      </w:tr>
      <w:tr w:rsidR="00FD2D90" w:rsidRPr="00DC7B3F"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DC7B3F"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Organisations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5" w:name="RCO77"/>
            <w:r w:rsidRPr="00FD2D90">
              <w:rPr>
                <w:b/>
                <w:szCs w:val="24"/>
              </w:rPr>
              <w:t>RCO77</w:t>
            </w:r>
            <w:bookmarkEnd w:id="265"/>
          </w:p>
        </w:tc>
      </w:tr>
      <w:tr w:rsidR="00FD2D90" w:rsidRPr="00DC7B3F"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DC7B3F"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DC7B3F"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DC7B3F"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Number of cultural and tourism sites that receive ﬁnancial support from the Programme. Cultural and tourism sites are deﬁned as places and facilities open to the general public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The ﬁnancial support to cultural and tourism sites is provided through the project partners. To contribute to RCO77, the project partner must either qualify as a cultural or tourism site, or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be located within the Programme Area. Cultural and tourism sites located in the Programme Area but managed by project partners from outside the Programme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DC7B3F"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DC7B3F"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progress report by the JS. Partner changes during the implementation of the project aﬀecting the cultural and tourism sites in the project are also taken into account.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Double counting is removed at the level of the Programme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projects in the same Programme Measure.</w:t>
            </w:r>
          </w:p>
        </w:tc>
      </w:tr>
      <w:tr w:rsidR="00FD2D90" w:rsidRPr="00DC7B3F"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organisation acts as a project partner.</w:t>
            </w:r>
          </w:p>
        </w:tc>
      </w:tr>
      <w:tr w:rsidR="00FD2D90" w:rsidRPr="00DC7B3F"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Tourism Agency or tourism association not directly</w:t>
            </w:r>
            <w:r w:rsidR="006F2587" w:rsidRPr="00FD2D90">
              <w:rPr>
                <w:rFonts w:eastAsia="Open Sans" w:cs="Open Sans"/>
                <w:szCs w:val="24"/>
              </w:rPr>
              <w:t xml:space="preserve"> </w:t>
            </w:r>
            <w:r w:rsidRPr="00FD2D90">
              <w:rPr>
                <w:rFonts w:eastAsia="Open Sans" w:cs="Open Sans"/>
                <w:szCs w:val="24"/>
              </w:rPr>
              <w:t>responsible for managing a tourism or cultural site, or the site managed by the organisation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A cultural or tourism site which is a project partner but located outside the Programme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1"/>
            <w:r w:rsidRPr="00FD2D90">
              <w:rPr>
                <w:b/>
                <w:szCs w:val="24"/>
              </w:rPr>
              <w:t>RCO81</w:t>
            </w:r>
            <w:bookmarkEnd w:id="266"/>
          </w:p>
        </w:tc>
      </w:tr>
      <w:tr w:rsidR="00FD2D90" w:rsidRPr="00DC7B3F"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DC7B3F"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DC7B3F"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actions across borders implemented in the supported projects. Joint actions across borders could include, for instance, exchange activities or exchange visits organised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organised,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A joint action is considered as the action organised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DC7B3F"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DC7B3F"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stakeholders on a jointly ﬁnalised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a workshop jointly ﬁnalised</w:t>
            </w:r>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DC7B3F"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at an event ﬁnalised only by the project partners located in the same country. (A joint action should be ﬁnalised with the involvement of organisations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4"/>
            <w:r w:rsidRPr="00FD2D90">
              <w:rPr>
                <w:b/>
                <w:szCs w:val="24"/>
              </w:rPr>
              <w:t>RCO84</w:t>
            </w:r>
            <w:bookmarkEnd w:id="267"/>
          </w:p>
        </w:tc>
      </w:tr>
      <w:tr w:rsidR="00FD2D90" w:rsidRPr="00DC7B3F"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DC7B3F"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r w:rsidRPr="00FD2D90">
              <w:rPr>
                <w:szCs w:val="24"/>
              </w:rPr>
              <w:t>Programme</w:t>
            </w:r>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DC7B3F"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DC7B3F"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Programme Measure. The pilot action must be </w:t>
            </w:r>
            <w:r w:rsidRPr="00FD2D90">
              <w:rPr>
                <w:szCs w:val="24"/>
              </w:rPr>
              <w:lastRenderedPageBreak/>
              <w:t>jointly developed and implemented in the project. Jointly developed means the active involvement of organisations from the project partnership. The pilot action should be ﬁnalised</w:t>
            </w:r>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DC7B3F"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DC7B3F"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DC7B3F"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new cross-border digital solutions and testing them in ports of the Programme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diﬀerent advanced wastewater treatment methods and testing them in diﬀerent WWTPs in the Programme Area. (During the pilot implementation, the piloting partner (i.e., where the pilot is implemented) shall cooperate with the other project partners).</w:t>
            </w:r>
          </w:p>
        </w:tc>
      </w:tr>
      <w:tr w:rsidR="00FD2D90" w:rsidRPr="00DC7B3F"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87"/>
            <w:r w:rsidRPr="00FD2D90">
              <w:rPr>
                <w:b/>
                <w:szCs w:val="24"/>
              </w:rPr>
              <w:t>RCO87</w:t>
            </w:r>
            <w:bookmarkEnd w:id="268"/>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r w:rsidRPr="00FD2D90">
              <w:rPr>
                <w:bCs/>
                <w:szCs w:val="24"/>
              </w:rPr>
              <w:t>Organisations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organisations</w:t>
            </w:r>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r w:rsidRPr="00FD2D90">
              <w:rPr>
                <w:rFonts w:cs="Open Sans"/>
                <w:szCs w:val="24"/>
              </w:rPr>
              <w:t>Programme</w:t>
            </w:r>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DC7B3F"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DC7B3F"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r w:rsidRPr="00FD2D90">
              <w:rPr>
                <w:rFonts w:cs="Open Sans"/>
                <w:szCs w:val="24"/>
              </w:rPr>
              <w:t>organisations</w:t>
            </w:r>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in the supported projects. The organisations counted in this indicator are the legal entities, including project partners and associated organisations, listed in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platform, etc.). To be counted under RCO87, the organisation shall stay in the project for at least one full reporting period (project partners must submit at least one partner progress report to be counted).</w:t>
            </w:r>
          </w:p>
        </w:tc>
      </w:tr>
      <w:tr w:rsidR="00FD2D90" w:rsidRPr="00DC7B3F"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Result indicator: RCR84 – Organisations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DC7B3F"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The achieved value of RCO87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Programme</w:t>
            </w:r>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organisations that are project or associated partners in more projects will be counted only once at the Programme level regardless of the number of projects they participate in. Unique organisations are identiﬁed by their unique registration/tax </w:t>
            </w:r>
            <w:r w:rsidRPr="00FD2D90">
              <w:rPr>
                <w:spacing w:val="-2"/>
                <w:szCs w:val="24"/>
              </w:rPr>
              <w:t>number.</w:t>
            </w:r>
          </w:p>
        </w:tc>
      </w:tr>
      <w:tr w:rsidR="00FD2D90" w:rsidRPr="00DC7B3F"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DC7B3F"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Stakeholder organisations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organisations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9" w:name="RCO116"/>
            <w:r w:rsidRPr="00FD2D90">
              <w:rPr>
                <w:b/>
                <w:szCs w:val="24"/>
              </w:rPr>
              <w:t>RCO116</w:t>
            </w:r>
            <w:bookmarkEnd w:id="269"/>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DC7B3F"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r w:rsidRPr="00FD2D90">
              <w:rPr>
                <w:rFonts w:cs="Open Sans"/>
                <w:szCs w:val="24"/>
              </w:rPr>
              <w:t>Programme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DC7B3F"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DC7B3F"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identiﬁed challenge under the relevant Programme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r w:rsidRPr="00FD2D90">
              <w:rPr>
                <w:szCs w:val="24"/>
              </w:rPr>
              <w:t>it.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ﬁnalised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DC7B3F"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organisations.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DC7B3F"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identiﬁed challenge of the Programme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DC7B3F"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State of play in the Programme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70" w:name="_Toc147386504"/>
      <w:r w:rsidRPr="00FD2D90">
        <w:rPr>
          <w:rFonts w:cs="Open Sans"/>
          <w:lang w:val="en-US"/>
        </w:rPr>
        <w:t>2 Result indicators</w:t>
      </w:r>
      <w:bookmarkEnd w:id="270"/>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11"/>
            <w:r w:rsidRPr="00FD2D90">
              <w:rPr>
                <w:b/>
                <w:szCs w:val="24"/>
              </w:rPr>
              <w:t>RCR11</w:t>
            </w:r>
            <w:bookmarkEnd w:id="271"/>
          </w:p>
        </w:tc>
      </w:tr>
      <w:tr w:rsidR="00FD2D90" w:rsidRPr="00DC7B3F"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users/</w:t>
            </w:r>
            <w:r w:rsidR="00813A89" w:rsidRPr="00FD2D90">
              <w:rPr>
                <w:rFonts w:cs="Open Sans"/>
                <w:spacing w:val="-2"/>
                <w:szCs w:val="24"/>
              </w:rPr>
              <w:t xml:space="preserve"> </w:t>
            </w:r>
            <w:r w:rsidRPr="00FD2D90">
              <w:rPr>
                <w:rFonts w:cs="Open Sans"/>
                <w:spacing w:val="-2"/>
                <w:szCs w:val="24"/>
              </w:rPr>
              <w:t>year</w:t>
            </w:r>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r w:rsidRPr="00FD2D90">
              <w:rPr>
                <w:rFonts w:cs="Open Sans"/>
                <w:szCs w:val="24"/>
              </w:rPr>
              <w:t>Programme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DC7B3F"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DC7B3F"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DC7B3F"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DC7B3F"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77"/>
            <w:r w:rsidRPr="00FD2D90">
              <w:rPr>
                <w:b/>
                <w:szCs w:val="24"/>
              </w:rPr>
              <w:t>RCR77</w:t>
            </w:r>
            <w:bookmarkEnd w:id="272"/>
          </w:p>
        </w:tc>
      </w:tr>
      <w:tr w:rsidR="00FD2D90" w:rsidRPr="00DC7B3F"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visitors/</w:t>
            </w:r>
            <w:r w:rsidR="007C54CD" w:rsidRPr="00FD2D90">
              <w:rPr>
                <w:spacing w:val="-2"/>
                <w:szCs w:val="24"/>
              </w:rPr>
              <w:t xml:space="preserve"> </w:t>
            </w:r>
            <w:r w:rsidRPr="00FD2D90">
              <w:rPr>
                <w:spacing w:val="-2"/>
                <w:szCs w:val="24"/>
              </w:rPr>
              <w:t>year</w:t>
            </w:r>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 xml:space="preserve">Programme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DC7B3F"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DC7B3F"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r w:rsidRPr="00FD2D90">
              <w:rPr>
                <w:szCs w:val="24"/>
              </w:rPr>
              <w:t>Estimated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DC7B3F"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DC7B3F"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The indicator has a baseline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 xml:space="preserve">result of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4"/>
            <w:r w:rsidRPr="00FD2D90">
              <w:rPr>
                <w:b/>
                <w:szCs w:val="24"/>
              </w:rPr>
              <w:t>RCR84</w:t>
            </w:r>
            <w:bookmarkEnd w:id="273"/>
          </w:p>
        </w:tc>
      </w:tr>
      <w:tr w:rsidR="00FD2D90" w:rsidRPr="00DC7B3F"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r w:rsidRPr="00FD2D90">
              <w:rPr>
                <w:bCs/>
                <w:szCs w:val="24"/>
              </w:rPr>
              <w:t>Organisations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organisations</w:t>
            </w:r>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DC7B3F"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DC7B3F"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The indicator counts the organisations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The organisations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which project and associated partners joined the cooperation established in the project. The cooperation agreements may be established during the implementation of the project. The sustained</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DC7B3F"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r w:rsidRPr="00FD2D90">
              <w:rPr>
                <w:szCs w:val="24"/>
              </w:rPr>
              <w:t>Organisations</w:t>
            </w:r>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DC7B3F"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r w:rsidRPr="00FD2D90">
              <w:rPr>
                <w:szCs w:val="24"/>
              </w:rPr>
              <w:t>organisations</w:t>
            </w:r>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r w:rsidRPr="00FD2D90">
              <w:rPr>
                <w:spacing w:val="-2"/>
                <w:szCs w:val="24"/>
              </w:rPr>
              <w:t>Programme</w:t>
            </w:r>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85"/>
            <w:r w:rsidRPr="00FD2D90">
              <w:rPr>
                <w:b/>
                <w:szCs w:val="24"/>
              </w:rPr>
              <w:t>RCR85</w:t>
            </w:r>
            <w:bookmarkEnd w:id="274"/>
          </w:p>
        </w:tc>
      </w:tr>
      <w:tr w:rsidR="00FD2D90" w:rsidRPr="00DC7B3F"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r w:rsidRPr="00FD2D90">
              <w:rPr>
                <w:szCs w:val="24"/>
              </w:rPr>
              <w:t>Programme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DC7B3F"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The indicator counts the number of participations in joint actions across borders after the completion of the project, organised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r w:rsidRPr="00FD2D90">
              <w:rPr>
                <w:szCs w:val="24"/>
              </w:rPr>
              <w:t>organisations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organised with participants from at least two countries of the Programme area. Participations are counted for each joint action organised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DC7B3F"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DC7B3F"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5" w:name="RCR104"/>
            <w:r w:rsidRPr="00FD2D90">
              <w:rPr>
                <w:b/>
                <w:szCs w:val="24"/>
              </w:rPr>
              <w:t>RCR104</w:t>
            </w:r>
            <w:bookmarkEnd w:id="275"/>
          </w:p>
        </w:tc>
      </w:tr>
      <w:tr w:rsidR="00FD2D90" w:rsidRPr="00DC7B3F"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Solutions taken up or upscaled by organisations</w:t>
            </w:r>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DC7B3F"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Programme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DC7B3F"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organisation adopting the solutions developed by the project may or may not be a participant in the project. The uptake/up-scaling should be documented by the adopting organisations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DC7B3F"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6AC9D285"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0EDFE4D6" w:rsidR="00D80F92" w:rsidRPr="00B36BE1" w:rsidRDefault="00D80F92" w:rsidP="00B36BE1">
      <w:pPr>
        <w:pStyle w:val="FootnoteText"/>
      </w:pPr>
      <w:r w:rsidRPr="00B36BE1">
        <w:rPr>
          <w:rStyle w:val="FootnoteReference"/>
        </w:rPr>
        <w:footnoteRef/>
      </w:r>
      <w:r w:rsidRPr="00B36BE1">
        <w:t xml:space="preserve"> </w:t>
      </w:r>
      <w:r w:rsidRPr="00B36BE1">
        <w:rPr>
          <w:rFonts w:ascii="Open Sans" w:hAnsi="Open Sans" w:cs="Open Sans"/>
        </w:rPr>
        <w:t>For projects concerning the organisation of economic missions and fairs, the value of a contract for hotel services or the supply of airline tickets may be estimated separately for each event if it is justified by the nature of these projects.</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2016/679 of the European Parliament and of the Council of 27 April 2016 on the protection of natural persons 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5pt;height:15.7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1"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2"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1"/>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0"/>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2"/>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59"/>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4"/>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3"/>
  </w:num>
  <w:num w:numId="53" w16cid:durableId="1562985100">
    <w:abstractNumId w:val="34"/>
  </w:num>
  <w:num w:numId="54" w16cid:durableId="266618562">
    <w:abstractNumId w:val="38"/>
  </w:num>
  <w:num w:numId="55" w16cid:durableId="1146507952">
    <w:abstractNumId w:val="58"/>
  </w:num>
  <w:num w:numId="56" w16cid:durableId="938829270">
    <w:abstractNumId w:val="65"/>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3D2C"/>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82A"/>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39C"/>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587C"/>
    <w:rsid w:val="00B3593C"/>
    <w:rsid w:val="00B36BE1"/>
    <w:rsid w:val="00B3710B"/>
    <w:rsid w:val="00B37AAB"/>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3715"/>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B3F"/>
    <w:rsid w:val="00DC7F17"/>
    <w:rsid w:val="00DD30C4"/>
    <w:rsid w:val="00DD3447"/>
    <w:rsid w:val="00DD3A53"/>
    <w:rsid w:val="00DD3C2B"/>
    <w:rsid w:val="00DD41A8"/>
    <w:rsid w:val="00DD46BD"/>
    <w:rsid w:val="00DD56FF"/>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48"/>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104</Pages>
  <Words>18516</Words>
  <Characters>105545</Characters>
  <Application>Microsoft Office Word</Application>
  <DocSecurity>0</DocSecurity>
  <Lines>879</Lines>
  <Paragraphs>247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Máté Szalók</cp:lastModifiedBy>
  <cp:revision>422</cp:revision>
  <cp:lastPrinted>2023-10-03T14:37:00Z</cp:lastPrinted>
  <dcterms:created xsi:type="dcterms:W3CDTF">2023-07-11T10:43:00Z</dcterms:created>
  <dcterms:modified xsi:type="dcterms:W3CDTF">2025-02-11T06:39:00Z</dcterms:modified>
</cp:coreProperties>
</file>