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AC0A" w14:textId="0BB0448F" w:rsidR="00AB67C2" w:rsidRDefault="003C58C0" w:rsidP="003C58C0">
      <w:pPr>
        <w:spacing w:line="360" w:lineRule="auto"/>
        <w:rPr>
          <w:bCs/>
          <w:lang w:val="en-GB"/>
        </w:rPr>
      </w:pPr>
      <w:r>
        <w:rPr>
          <w:noProof/>
        </w:rPr>
        <w:drawing>
          <wp:inline distT="0" distB="0" distL="0" distR="0" wp14:anchorId="5803718B" wp14:editId="122EAA90">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3998" cy="1267418"/>
                    </a:xfrm>
                    <a:prstGeom prst="rect">
                      <a:avLst/>
                    </a:prstGeom>
                    <a:noFill/>
                    <a:ln>
                      <a:noFill/>
                    </a:ln>
                  </pic:spPr>
                </pic:pic>
              </a:graphicData>
            </a:graphic>
          </wp:inline>
        </w:drawing>
      </w:r>
      <w:r w:rsidR="00E76E1A">
        <w:rPr>
          <w:rFonts w:ascii="Century Gothic" w:hAnsi="Century Gothic"/>
          <w:noProof/>
          <w:color w:val="1C4E6D"/>
          <w:sz w:val="40"/>
          <w:szCs w:val="40"/>
          <w:lang w:val="en-GB"/>
        </w:rPr>
        <mc:AlternateContent>
          <mc:Choice Requires="wps">
            <w:drawing>
              <wp:anchor distT="0" distB="0" distL="114300" distR="114300" simplePos="0" relativeHeight="251684347" behindDoc="0" locked="0" layoutInCell="1" allowOverlap="1" wp14:anchorId="53026B7C" wp14:editId="1C6729EF">
                <wp:simplePos x="0" y="0"/>
                <wp:positionH relativeFrom="page">
                  <wp:posOffset>-526744</wp:posOffset>
                </wp:positionH>
                <wp:positionV relativeFrom="paragraph">
                  <wp:posOffset>-1628949</wp:posOffset>
                </wp:positionV>
                <wp:extent cx="8133912" cy="1324304"/>
                <wp:effectExtent l="0" t="0" r="635" b="0"/>
                <wp:wrapNone/>
                <wp:docPr id="2087506109"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133912" cy="132430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3C249" id="Rectangle 6" o:spid="_x0000_s1026" alt="&quot;&quot;" style="position:absolute;margin-left:-41.5pt;margin-top:-128.25pt;width:640.45pt;height:104.3pt;z-index:2516843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" fillcolor="white [3212]" stroked="f" strokeweight="1pt">
                <w10:wrap anchorx="page"/>
              </v:rect>
            </w:pict>
          </mc:Fallback>
        </mc:AlternateContent>
      </w:r>
    </w:p>
    <w:p w14:paraId="535452F6" w14:textId="3953A00F" w:rsidR="004F49C6" w:rsidRDefault="003C58C0" w:rsidP="003C58C0">
      <w:pPr>
        <w:spacing w:line="360" w:lineRule="auto"/>
        <w:rPr>
          <w:b/>
          <w:noProof/>
          <w:color w:val="003399"/>
          <w:sz w:val="36"/>
          <w:szCs w:val="36"/>
          <w:lang w:val="en-GB"/>
        </w:rPr>
      </w:pPr>
      <w:r>
        <w:rPr>
          <w:noProof/>
        </w:rPr>
        <w:drawing>
          <wp:anchor distT="0" distB="0" distL="114300" distR="114300" simplePos="0" relativeHeight="251838975" behindDoc="1" locked="0" layoutInCell="1" allowOverlap="1" wp14:anchorId="2F9B1485" wp14:editId="2519826A">
            <wp:simplePos x="0" y="0"/>
            <wp:positionH relativeFrom="column">
              <wp:posOffset>-905510</wp:posOffset>
            </wp:positionH>
            <wp:positionV relativeFrom="paragraph">
              <wp:posOffset>240030</wp:posOffset>
            </wp:positionV>
            <wp:extent cx="7556500" cy="4993005"/>
            <wp:effectExtent l="0" t="0" r="6350" b="0"/>
            <wp:wrapNone/>
            <wp:docPr id="18" name="Image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 name="Image 18">
                      <a:extLst>
                        <a:ext uri="{C183D7F6-B498-43B3-948B-1728B52AA6E4}">
                          <adec:decorative xmlns:adec="http://schemas.microsoft.com/office/drawing/2017/decorative" val="1"/>
                        </a:ext>
                      </a:extLst>
                    </pic:cNvPr>
                    <pic:cNvPicPr/>
                  </pic:nvPicPr>
                  <pic:blipFill>
                    <a:blip r:embed="rId9" cstate="print"/>
                    <a:stretch>
                      <a:fillRect/>
                    </a:stretch>
                  </pic:blipFill>
                  <pic:spPr>
                    <a:xfrm>
                      <a:off x="0" y="0"/>
                      <a:ext cx="7556500" cy="4993005"/>
                    </a:xfrm>
                    <a:prstGeom prst="rect">
                      <a:avLst/>
                    </a:prstGeom>
                  </pic:spPr>
                </pic:pic>
              </a:graphicData>
            </a:graphic>
          </wp:anchor>
        </w:drawing>
      </w:r>
      <w:r w:rsidR="00E76E1A">
        <w:rPr>
          <w:noProof/>
          <w14:ligatures w14:val="standardContextual"/>
        </w:rPr>
        <mc:AlternateContent>
          <mc:Choice Requires="wps">
            <w:drawing>
              <wp:anchor distT="0" distB="0" distL="114300" distR="114300" simplePos="0" relativeHeight="251833855" behindDoc="0" locked="0" layoutInCell="1" allowOverlap="1" wp14:anchorId="1261AE16" wp14:editId="2FA27000">
                <wp:simplePos x="0" y="0"/>
                <wp:positionH relativeFrom="page">
                  <wp:posOffset>-7709338</wp:posOffset>
                </wp:positionH>
                <wp:positionV relativeFrom="paragraph">
                  <wp:posOffset>775160</wp:posOffset>
                </wp:positionV>
                <wp:extent cx="7572375" cy="1095375"/>
                <wp:effectExtent l="0" t="0" r="9525" b="9525"/>
                <wp:wrapNone/>
                <wp:docPr id="114945418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72375" cy="109537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2ADE8300" w14:textId="677FBC7A" w:rsidR="009751DC" w:rsidRPr="009751DC" w:rsidRDefault="009751DC" w:rsidP="00805C22">
                            <w:r w:rsidRPr="009751DC">
                              <w:tab/>
                            </w:r>
                            <w:r w:rsidRPr="009751DC">
                              <w:rPr>
                                <w:color w:val="9AC441"/>
                              </w:rPr>
                              <w:tab/>
                            </w:r>
                            <w:r w:rsidRPr="009751DC">
                              <w:rPr>
                                <w:color w:val="DE5C59"/>
                              </w:rPr>
                              <w:tab/>
                            </w:r>
                          </w:p>
                          <w:p w14:paraId="35545B8F" w14:textId="1F337062" w:rsidR="009751DC" w:rsidRDefault="009751DC" w:rsidP="00805C22">
                            <w:pPr>
                              <w:pStyle w:val="BodyText"/>
                            </w:pPr>
                          </w:p>
                          <w:p w14:paraId="00495E83" w14:textId="1A894FC0" w:rsidR="009751DC" w:rsidRDefault="009751DC" w:rsidP="00805C22">
                            <w:pPr>
                              <w:pStyle w:val="BodyText"/>
                            </w:pPr>
                          </w:p>
                          <w:p w14:paraId="19BB67BD" w14:textId="5F0A6B63" w:rsidR="009751DC" w:rsidRDefault="009751DC" w:rsidP="00805C22">
                            <w:pPr>
                              <w:pStyle w:val="BodyText"/>
                            </w:pPr>
                          </w:p>
                          <w:p w14:paraId="2C9221BD" w14:textId="77777777" w:rsidR="009751DC" w:rsidRPr="009751DC" w:rsidRDefault="009751DC" w:rsidP="00805C22"/>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1AE16" id="Graphic 19" o:spid="_x0000_s1026" alt="&quot;&quot;" style="position:absolute;margin-left:-607.05pt;margin-top:61.05pt;width:596.25pt;height:86.25pt;z-index:25183385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2ADE8300" w14:textId="677FBC7A" w:rsidR="009751DC" w:rsidRPr="009751DC" w:rsidRDefault="009751DC" w:rsidP="00805C22">
                      <w:r w:rsidRPr="009751DC">
                        <w:tab/>
                      </w:r>
                      <w:r w:rsidRPr="009751DC">
                        <w:rPr>
                          <w:color w:val="9AC441"/>
                        </w:rPr>
                        <w:tab/>
                      </w:r>
                      <w:r w:rsidRPr="009751DC">
                        <w:rPr>
                          <w:color w:val="DE5C59"/>
                        </w:rPr>
                        <w:tab/>
                      </w:r>
                    </w:p>
                    <w:p w14:paraId="35545B8F" w14:textId="1F337062" w:rsidR="009751DC" w:rsidRDefault="009751DC" w:rsidP="00805C22">
                      <w:pPr>
                        <w:pStyle w:val="BodyText"/>
                      </w:pPr>
                    </w:p>
                    <w:p w14:paraId="00495E83" w14:textId="1A894FC0" w:rsidR="009751DC" w:rsidRDefault="009751DC" w:rsidP="00805C22">
                      <w:pPr>
                        <w:pStyle w:val="BodyText"/>
                      </w:pPr>
                    </w:p>
                    <w:p w14:paraId="19BB67BD" w14:textId="5F0A6B63" w:rsidR="009751DC" w:rsidRDefault="009751DC" w:rsidP="00805C22">
                      <w:pPr>
                        <w:pStyle w:val="BodyText"/>
                      </w:pPr>
                    </w:p>
                    <w:p w14:paraId="2C9221BD" w14:textId="77777777" w:rsidR="009751DC" w:rsidRPr="009751DC" w:rsidRDefault="009751DC" w:rsidP="00805C22"/>
                  </w:txbxContent>
                </v:textbox>
                <w10:wrap anchorx="page"/>
              </v:shape>
            </w:pict>
          </mc:Fallback>
        </mc:AlternateContent>
      </w:r>
    </w:p>
    <w:p w14:paraId="49D243A9" w14:textId="5E45DD9C" w:rsidR="005934B7" w:rsidRDefault="005934B7" w:rsidP="003C58C0">
      <w:pPr>
        <w:spacing w:line="360" w:lineRule="auto"/>
        <w:rPr>
          <w:lang w:val="en-GB"/>
        </w:rPr>
      </w:pPr>
    </w:p>
    <w:p w14:paraId="50A8A98C" w14:textId="3A58BDE2" w:rsidR="005934B7" w:rsidRDefault="005934B7" w:rsidP="003C58C0">
      <w:pPr>
        <w:spacing w:line="360" w:lineRule="auto"/>
        <w:rPr>
          <w:lang w:val="en-GB"/>
        </w:rPr>
      </w:pPr>
    </w:p>
    <w:p w14:paraId="6C51F73D" w14:textId="71EFF69E" w:rsidR="005934B7" w:rsidRDefault="005934B7" w:rsidP="003C58C0">
      <w:pPr>
        <w:spacing w:line="360" w:lineRule="auto"/>
        <w:rPr>
          <w:lang w:val="en-GB"/>
        </w:rPr>
      </w:pPr>
    </w:p>
    <w:p w14:paraId="13E907E6" w14:textId="32B1F22A" w:rsidR="005934B7" w:rsidRDefault="005934B7" w:rsidP="003C58C0">
      <w:pPr>
        <w:spacing w:line="360" w:lineRule="auto"/>
        <w:rPr>
          <w:lang w:val="en-GB"/>
        </w:rPr>
      </w:pPr>
    </w:p>
    <w:p w14:paraId="607D8509" w14:textId="0DE80BD9" w:rsidR="005934B7" w:rsidRDefault="005934B7" w:rsidP="003C58C0">
      <w:pPr>
        <w:spacing w:line="360" w:lineRule="auto"/>
        <w:rPr>
          <w:lang w:val="en-GB"/>
        </w:rPr>
      </w:pPr>
    </w:p>
    <w:p w14:paraId="33B7F5C7" w14:textId="292C299F" w:rsidR="005934B7" w:rsidRDefault="005934B7" w:rsidP="003C58C0">
      <w:pPr>
        <w:spacing w:line="360" w:lineRule="auto"/>
        <w:rPr>
          <w:lang w:val="en-GB"/>
        </w:rPr>
      </w:pPr>
    </w:p>
    <w:p w14:paraId="0137B365" w14:textId="77777777" w:rsidR="005934B7" w:rsidRDefault="005934B7" w:rsidP="003C58C0">
      <w:pPr>
        <w:spacing w:line="360" w:lineRule="auto"/>
        <w:rPr>
          <w:lang w:val="en-GB"/>
        </w:rPr>
      </w:pPr>
    </w:p>
    <w:p w14:paraId="523D2206" w14:textId="12311943" w:rsidR="00BC4D0A" w:rsidRDefault="003C58C0" w:rsidP="003C58C0">
      <w:pPr>
        <w:tabs>
          <w:tab w:val="left" w:pos="6525"/>
        </w:tabs>
        <w:spacing w:line="360" w:lineRule="auto"/>
        <w:rPr>
          <w:lang w:val="en-GB"/>
        </w:rPr>
      </w:pPr>
      <w:r>
        <w:rPr>
          <w:lang w:val="en-GB"/>
        </w:rPr>
        <w:tab/>
      </w:r>
    </w:p>
    <w:p w14:paraId="0D411100" w14:textId="3E82D893" w:rsidR="00BC4D0A" w:rsidRDefault="00BC4D0A" w:rsidP="003C58C0">
      <w:pPr>
        <w:spacing w:line="360" w:lineRule="auto"/>
        <w:rPr>
          <w:lang w:val="en-GB"/>
        </w:rPr>
      </w:pPr>
    </w:p>
    <w:p w14:paraId="6FCC72B1" w14:textId="03BC4046" w:rsidR="00BC4D0A" w:rsidRDefault="00BC4D0A" w:rsidP="003C58C0">
      <w:pPr>
        <w:spacing w:line="360" w:lineRule="auto"/>
        <w:rPr>
          <w:lang w:val="en-GB"/>
        </w:rPr>
      </w:pPr>
    </w:p>
    <w:p w14:paraId="19381768" w14:textId="2259BBDB" w:rsidR="00BC4D0A" w:rsidRDefault="00BC4D0A" w:rsidP="003C58C0">
      <w:pPr>
        <w:spacing w:line="360" w:lineRule="auto"/>
        <w:rPr>
          <w:lang w:val="en-GB"/>
        </w:rPr>
      </w:pPr>
    </w:p>
    <w:p w14:paraId="0943469B" w14:textId="65F14CE9" w:rsidR="00BC4D0A" w:rsidRDefault="003C58C0" w:rsidP="003C58C0">
      <w:pPr>
        <w:spacing w:line="360" w:lineRule="auto"/>
        <w:rPr>
          <w:rFonts w:ascii="Gill Sans MT" w:hAnsi="Gill Sans MT"/>
          <w:color w:val="00CCFF"/>
          <w:sz w:val="36"/>
          <w:szCs w:val="36"/>
          <w:lang w:val="en-GB"/>
        </w:rPr>
      </w:pPr>
      <w:r>
        <w:rPr>
          <w:noProof/>
        </w:rPr>
        <mc:AlternateContent>
          <mc:Choice Requires="wps">
            <w:drawing>
              <wp:anchor distT="0" distB="0" distL="114300" distR="114300" simplePos="0" relativeHeight="251685372" behindDoc="0" locked="0" layoutInCell="1" allowOverlap="1" wp14:anchorId="7D83CB8F" wp14:editId="6B01140F">
                <wp:simplePos x="0" y="0"/>
                <wp:positionH relativeFrom="page">
                  <wp:posOffset>9525</wp:posOffset>
                </wp:positionH>
                <wp:positionV relativeFrom="paragraph">
                  <wp:posOffset>245744</wp:posOffset>
                </wp:positionV>
                <wp:extent cx="7543800" cy="2712085"/>
                <wp:effectExtent l="0" t="0" r="0" b="0"/>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271208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2723E07C" w14:textId="77777777" w:rsidR="00E76E1A" w:rsidRDefault="00E76E1A" w:rsidP="00805C22"/>
                          <w:p w14:paraId="4D855F9F" w14:textId="77777777" w:rsidR="009751DC" w:rsidRPr="00E76E1A" w:rsidRDefault="009751DC" w:rsidP="00805C22">
                            <w:pPr>
                              <w:pStyle w:val="BodyText"/>
                            </w:pPr>
                          </w:p>
                          <w:p w14:paraId="10B23B3E" w14:textId="77777777" w:rsidR="009751DC" w:rsidRPr="00805C22" w:rsidRDefault="009751DC" w:rsidP="003C58C0">
                            <w:pPr>
                              <w:pStyle w:val="Subtitle"/>
                              <w:spacing w:before="0" w:after="0"/>
                            </w:pPr>
                            <w:r w:rsidRPr="00805C22">
                              <w:t>Interreg South Baltic Programme 2021–2027</w:t>
                            </w:r>
                          </w:p>
                          <w:p w14:paraId="20978341" w14:textId="77777777" w:rsidR="009751DC" w:rsidRPr="00805C22" w:rsidRDefault="009751DC" w:rsidP="003C58C0">
                            <w:pPr>
                              <w:pStyle w:val="Title"/>
                            </w:pPr>
                            <w:r w:rsidRPr="00805C22">
                              <w:t>Programme Manual</w:t>
                            </w:r>
                          </w:p>
                          <w:p w14:paraId="6F932442" w14:textId="535F8125" w:rsidR="009751DC" w:rsidRPr="00E76E1A" w:rsidRDefault="009751DC" w:rsidP="003C58C0">
                            <w:pPr>
                              <w:pStyle w:val="Subtitle"/>
                              <w:spacing w:before="0" w:after="0"/>
                            </w:pPr>
                            <w:r w:rsidRPr="00E76E1A">
                              <w:t>version 3.0</w:t>
                            </w:r>
                          </w:p>
                          <w:p w14:paraId="796EE81A" w14:textId="77777777" w:rsidR="009751DC" w:rsidRPr="00E76E1A" w:rsidRDefault="009751DC" w:rsidP="003C58C0">
                            <w:pPr>
                              <w:pStyle w:val="Subtitle"/>
                              <w:spacing w:before="0" w:after="0"/>
                            </w:pPr>
                            <w:r w:rsidRPr="00E76E1A">
                              <w:t xml:space="preserve">  WWW.SOUTHBALTIC.EU</w:t>
                            </w:r>
                          </w:p>
                          <w:p w14:paraId="2D6A576C" w14:textId="77777777" w:rsidR="009751DC" w:rsidRPr="009751DC" w:rsidRDefault="009751DC" w:rsidP="00805C22"/>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CB8F" id="_x0000_s1027" alt="&quot;&quot;" style="position:absolute;margin-left:.75pt;margin-top:19.35pt;width:594pt;height:213.55pt;z-index:2516853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ZVIxQcAAEE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2723E07C" w14:textId="77777777" w:rsidR="00E76E1A" w:rsidRDefault="00E76E1A" w:rsidP="00805C22"/>
                    <w:p w14:paraId="4D855F9F" w14:textId="77777777" w:rsidR="009751DC" w:rsidRPr="00E76E1A" w:rsidRDefault="009751DC" w:rsidP="00805C22">
                      <w:pPr>
                        <w:pStyle w:val="BodyText"/>
                      </w:pPr>
                    </w:p>
                    <w:p w14:paraId="10B23B3E" w14:textId="77777777" w:rsidR="009751DC" w:rsidRPr="00805C22" w:rsidRDefault="009751DC" w:rsidP="003C58C0">
                      <w:pPr>
                        <w:pStyle w:val="Subtitle"/>
                        <w:spacing w:before="0" w:after="0"/>
                      </w:pPr>
                      <w:r w:rsidRPr="00805C22">
                        <w:t>Interreg South Baltic Programme 2021–2027</w:t>
                      </w:r>
                    </w:p>
                    <w:p w14:paraId="20978341" w14:textId="77777777" w:rsidR="009751DC" w:rsidRPr="00805C22" w:rsidRDefault="009751DC" w:rsidP="003C58C0">
                      <w:pPr>
                        <w:pStyle w:val="Title"/>
                      </w:pPr>
                      <w:r w:rsidRPr="00805C22">
                        <w:t>Programme Manual</w:t>
                      </w:r>
                    </w:p>
                    <w:p w14:paraId="6F932442" w14:textId="535F8125" w:rsidR="009751DC" w:rsidRPr="00E76E1A" w:rsidRDefault="009751DC" w:rsidP="003C58C0">
                      <w:pPr>
                        <w:pStyle w:val="Subtitle"/>
                        <w:spacing w:before="0" w:after="0"/>
                      </w:pPr>
                      <w:r w:rsidRPr="00E76E1A">
                        <w:t>version 3.0</w:t>
                      </w:r>
                    </w:p>
                    <w:p w14:paraId="796EE81A" w14:textId="77777777" w:rsidR="009751DC" w:rsidRPr="00E76E1A" w:rsidRDefault="009751DC" w:rsidP="003C58C0">
                      <w:pPr>
                        <w:pStyle w:val="Subtitle"/>
                        <w:spacing w:before="0" w:after="0"/>
                      </w:pPr>
                      <w:r w:rsidRPr="00E76E1A">
                        <w:t xml:space="preserve">  WWW.SOUTHBALTIC.EU</w:t>
                      </w:r>
                    </w:p>
                    <w:p w14:paraId="2D6A576C" w14:textId="77777777" w:rsidR="009751DC" w:rsidRPr="009751DC" w:rsidRDefault="009751DC" w:rsidP="00805C22"/>
                  </w:txbxContent>
                </v:textbox>
                <w10:wrap anchorx="page"/>
              </v:shape>
            </w:pict>
          </mc:Fallback>
        </mc:AlternateContent>
      </w:r>
    </w:p>
    <w:p w14:paraId="7630E7D6" w14:textId="1FC659AB" w:rsidR="00BC4D0A" w:rsidRDefault="00BC4D0A" w:rsidP="003C58C0">
      <w:pPr>
        <w:spacing w:line="360" w:lineRule="auto"/>
        <w:rPr>
          <w:lang w:val="en-GB"/>
        </w:rPr>
      </w:pPr>
    </w:p>
    <w:p w14:paraId="69A231B2" w14:textId="0531E380" w:rsidR="00BC4D0A" w:rsidRPr="00687573" w:rsidRDefault="00BC4D0A" w:rsidP="003C58C0">
      <w:pPr>
        <w:spacing w:line="360" w:lineRule="auto"/>
        <w:rPr>
          <w:lang w:val="en-GB"/>
        </w:rPr>
      </w:pPr>
    </w:p>
    <w:p w14:paraId="06E9EDCD" w14:textId="742EA570" w:rsidR="00A4774F" w:rsidRDefault="00A4774F" w:rsidP="003C58C0">
      <w:pPr>
        <w:spacing w:line="360" w:lineRule="auto"/>
        <w:rPr>
          <w:lang w:val="en-GB"/>
        </w:rPr>
      </w:pPr>
    </w:p>
    <w:p w14:paraId="5D9E71E0" w14:textId="3B047332" w:rsidR="009751DC" w:rsidRDefault="009751DC" w:rsidP="003C58C0">
      <w:pPr>
        <w:spacing w:line="360" w:lineRule="auto"/>
        <w:rPr>
          <w:lang w:val="en-GB"/>
        </w:rPr>
      </w:pPr>
      <w:bookmarkStart w:id="0" w:name="_Hlk98249302"/>
    </w:p>
    <w:p w14:paraId="0FD9B35B" w14:textId="6242155B" w:rsidR="000C03DA" w:rsidRPr="006D77D6" w:rsidRDefault="007A42BC" w:rsidP="003C58C0">
      <w:pPr>
        <w:pStyle w:val="Heading1"/>
        <w:spacing w:line="360" w:lineRule="auto"/>
      </w:pPr>
      <w:r w:rsidRPr="00D20C32">
        <w:lastRenderedPageBreak/>
        <w:t>TABLE OF CONTENTS</w:t>
      </w:r>
      <w:bookmarkEnd w:id="0"/>
    </w:p>
    <w:sdt>
      <w:sdtPr>
        <w:rPr>
          <w:rFonts w:asciiTheme="minorHAnsi" w:hAnsiTheme="minorHAnsi" w:cstheme="minorBidi"/>
          <w:b/>
          <w:bCs/>
          <w:noProof w:val="0"/>
        </w:rPr>
        <w:id w:val="-365983235"/>
        <w:docPartObj>
          <w:docPartGallery w:val="Table of Contents"/>
          <w:docPartUnique/>
        </w:docPartObj>
      </w:sdtPr>
      <w:sdtEndPr>
        <w:rPr>
          <w:rFonts w:ascii="Open Sans" w:hAnsi="Open Sans"/>
          <w:b w:val="0"/>
          <w:bCs w:val="0"/>
        </w:rPr>
      </w:sdtEndPr>
      <w:sdtContent>
        <w:p w14:paraId="2FC62C63" w14:textId="53898481" w:rsidR="00F70AD5" w:rsidRPr="00805C22" w:rsidRDefault="00DD3A53" w:rsidP="003C58C0">
          <w:pPr>
            <w:pStyle w:val="TOC1"/>
            <w:spacing w:line="360" w:lineRule="auto"/>
            <w:rPr>
              <w:rFonts w:eastAsiaTheme="minorEastAsia"/>
              <w:kern w:val="2"/>
              <w14:ligatures w14:val="standardContextual"/>
            </w:rPr>
          </w:pPr>
          <w:r w:rsidRPr="003A4371">
            <w:rPr>
              <w:rFonts w:asciiTheme="minorHAnsi" w:hAnsiTheme="minorHAnsi" w:cstheme="minorBidi"/>
              <w:noProof w:val="0"/>
              <w:lang w:val="en-GB"/>
            </w:rPr>
            <w:fldChar w:fldCharType="begin"/>
          </w:r>
          <w:r w:rsidRPr="00E23B46">
            <w:instrText xml:space="preserve"> TOC \o "1-3" \h \z \u </w:instrText>
          </w:r>
          <w:r w:rsidRPr="003A4371">
            <w:rPr>
              <w:rFonts w:asciiTheme="minorHAnsi" w:hAnsiTheme="minorHAnsi" w:cstheme="minorBidi"/>
              <w:noProof w:val="0"/>
              <w:lang w:val="en-GB"/>
            </w:rPr>
            <w:fldChar w:fldCharType="separate"/>
          </w:r>
          <w:hyperlink w:anchor="_Toc147242359" w:history="1">
            <w:r w:rsidR="00F70AD5" w:rsidRPr="00805C22">
              <w:rPr>
                <w:rStyle w:val="Hyperlink"/>
                <w:szCs w:val="24"/>
              </w:rPr>
              <w:t>I INTERREG SOUTH BALTIC PROGRAMME 2021 - 2027</w:t>
            </w:r>
            <w:r w:rsidR="00F70AD5" w:rsidRPr="00805C22">
              <w:rPr>
                <w:webHidden/>
              </w:rPr>
              <w:tab/>
            </w:r>
            <w:r w:rsidR="00F70AD5" w:rsidRPr="00805C22">
              <w:rPr>
                <w:webHidden/>
              </w:rPr>
              <w:fldChar w:fldCharType="begin"/>
            </w:r>
            <w:r w:rsidR="00F70AD5" w:rsidRPr="00805C22">
              <w:rPr>
                <w:webHidden/>
              </w:rPr>
              <w:instrText xml:space="preserve"> PAGEREF _Toc147242359 \h </w:instrText>
            </w:r>
            <w:r w:rsidR="00F70AD5" w:rsidRPr="00805C22">
              <w:rPr>
                <w:webHidden/>
              </w:rPr>
            </w:r>
            <w:r w:rsidR="00F70AD5" w:rsidRPr="00805C22">
              <w:rPr>
                <w:webHidden/>
              </w:rPr>
              <w:fldChar w:fldCharType="separate"/>
            </w:r>
            <w:r w:rsidR="006E191C">
              <w:rPr>
                <w:webHidden/>
              </w:rPr>
              <w:t>8</w:t>
            </w:r>
            <w:r w:rsidR="00F70AD5" w:rsidRPr="00805C22">
              <w:rPr>
                <w:webHidden/>
              </w:rPr>
              <w:fldChar w:fldCharType="end"/>
            </w:r>
          </w:hyperlink>
        </w:p>
        <w:p w14:paraId="60A19912" w14:textId="3224BCF3" w:rsidR="00F70AD5" w:rsidRPr="00805C22" w:rsidRDefault="006E191C" w:rsidP="003C58C0">
          <w:pPr>
            <w:pStyle w:val="TOC2"/>
            <w:spacing w:line="360" w:lineRule="auto"/>
            <w:rPr>
              <w:rFonts w:eastAsiaTheme="minorEastAsia"/>
              <w:kern w:val="2"/>
              <w:lang w:val="en-US"/>
              <w14:ligatures w14:val="standardContextual"/>
            </w:rPr>
          </w:pPr>
          <w:hyperlink w:anchor="_Toc147242360" w:history="1">
            <w:r w:rsidR="00F70AD5" w:rsidRPr="00805C22">
              <w:rPr>
                <w:rStyle w:val="Hyperlink"/>
                <w:rFonts w:ascii="Open Sans" w:hAnsi="Open Sans" w:cs="Open Sans"/>
                <w:szCs w:val="24"/>
              </w:rPr>
              <w:t>1 GENERAL PROGRAMME INFORMATION</w:t>
            </w:r>
            <w:r w:rsidR="00F70AD5" w:rsidRPr="00805C22">
              <w:rPr>
                <w:webHidden/>
              </w:rPr>
              <w:tab/>
            </w:r>
            <w:r w:rsidR="00F70AD5" w:rsidRPr="00805C22">
              <w:rPr>
                <w:webHidden/>
              </w:rPr>
              <w:fldChar w:fldCharType="begin"/>
            </w:r>
            <w:r w:rsidR="00F70AD5" w:rsidRPr="00805C22">
              <w:rPr>
                <w:webHidden/>
              </w:rPr>
              <w:instrText xml:space="preserve"> PAGEREF _Toc147242360 \h </w:instrText>
            </w:r>
            <w:r w:rsidR="00F70AD5" w:rsidRPr="00805C22">
              <w:rPr>
                <w:webHidden/>
              </w:rPr>
            </w:r>
            <w:r w:rsidR="00F70AD5" w:rsidRPr="00805C22">
              <w:rPr>
                <w:webHidden/>
              </w:rPr>
              <w:fldChar w:fldCharType="separate"/>
            </w:r>
            <w:r>
              <w:rPr>
                <w:webHidden/>
              </w:rPr>
              <w:t>8</w:t>
            </w:r>
            <w:r w:rsidR="00F70AD5" w:rsidRPr="00805C22">
              <w:rPr>
                <w:webHidden/>
              </w:rPr>
              <w:fldChar w:fldCharType="end"/>
            </w:r>
          </w:hyperlink>
        </w:p>
        <w:p w14:paraId="327A2FD7" w14:textId="0E819743" w:rsidR="00F70AD5" w:rsidRPr="00805C22" w:rsidRDefault="006E191C" w:rsidP="003C58C0">
          <w:pPr>
            <w:pStyle w:val="TOC3"/>
            <w:spacing w:line="360" w:lineRule="auto"/>
            <w:rPr>
              <w:rFonts w:eastAsiaTheme="minorEastAsia"/>
              <w:kern w:val="2"/>
              <w:lang w:val="en-US"/>
              <w14:ligatures w14:val="standardContextual"/>
            </w:rPr>
          </w:pPr>
          <w:hyperlink w:anchor="_Toc147242361" w:history="1">
            <w:r w:rsidR="00F70AD5" w:rsidRPr="00805C22">
              <w:rPr>
                <w:rStyle w:val="Hyperlink"/>
                <w:rFonts w:ascii="Open Sans" w:hAnsi="Open Sans" w:cs="Open Sans"/>
                <w:szCs w:val="24"/>
              </w:rPr>
              <w:t>1.1 Legal framework</w:t>
            </w:r>
            <w:r w:rsidR="00F70AD5" w:rsidRPr="00805C22">
              <w:rPr>
                <w:webHidden/>
              </w:rPr>
              <w:tab/>
            </w:r>
            <w:r w:rsidR="00F70AD5" w:rsidRPr="00805C22">
              <w:rPr>
                <w:webHidden/>
              </w:rPr>
              <w:fldChar w:fldCharType="begin"/>
            </w:r>
            <w:r w:rsidR="00F70AD5" w:rsidRPr="00805C22">
              <w:rPr>
                <w:webHidden/>
              </w:rPr>
              <w:instrText xml:space="preserve"> PAGEREF _Toc147242361 \h </w:instrText>
            </w:r>
            <w:r w:rsidR="00F70AD5" w:rsidRPr="00805C22">
              <w:rPr>
                <w:webHidden/>
              </w:rPr>
            </w:r>
            <w:r w:rsidR="00F70AD5" w:rsidRPr="00805C22">
              <w:rPr>
                <w:webHidden/>
              </w:rPr>
              <w:fldChar w:fldCharType="separate"/>
            </w:r>
            <w:r>
              <w:rPr>
                <w:webHidden/>
              </w:rPr>
              <w:t>8</w:t>
            </w:r>
            <w:r w:rsidR="00F70AD5" w:rsidRPr="00805C22">
              <w:rPr>
                <w:webHidden/>
              </w:rPr>
              <w:fldChar w:fldCharType="end"/>
            </w:r>
          </w:hyperlink>
        </w:p>
        <w:p w14:paraId="148A1EF4" w14:textId="0D2D0ACA" w:rsidR="00F70AD5" w:rsidRPr="00805C22" w:rsidRDefault="006E191C" w:rsidP="003C58C0">
          <w:pPr>
            <w:pStyle w:val="TOC3"/>
            <w:spacing w:line="360" w:lineRule="auto"/>
            <w:rPr>
              <w:rFonts w:eastAsiaTheme="minorEastAsia"/>
              <w:kern w:val="2"/>
              <w:lang w:val="en-US"/>
              <w14:ligatures w14:val="standardContextual"/>
            </w:rPr>
          </w:pPr>
          <w:hyperlink w:anchor="_Toc147242362" w:history="1">
            <w:r w:rsidR="00F70AD5" w:rsidRPr="00805C22">
              <w:rPr>
                <w:rStyle w:val="Hyperlink"/>
                <w:rFonts w:ascii="Open Sans" w:hAnsi="Open Sans" w:cs="Open Sans"/>
                <w:szCs w:val="24"/>
              </w:rPr>
              <w:t>1.2 New generation of the Programme</w:t>
            </w:r>
            <w:r w:rsidR="00F70AD5" w:rsidRPr="00805C22">
              <w:rPr>
                <w:webHidden/>
              </w:rPr>
              <w:tab/>
            </w:r>
            <w:r w:rsidR="00F70AD5" w:rsidRPr="00805C22">
              <w:rPr>
                <w:webHidden/>
              </w:rPr>
              <w:fldChar w:fldCharType="begin"/>
            </w:r>
            <w:r w:rsidR="00F70AD5" w:rsidRPr="00805C22">
              <w:rPr>
                <w:webHidden/>
              </w:rPr>
              <w:instrText xml:space="preserve"> PAGEREF _Toc147242362 \h </w:instrText>
            </w:r>
            <w:r w:rsidR="00F70AD5" w:rsidRPr="00805C22">
              <w:rPr>
                <w:webHidden/>
              </w:rPr>
            </w:r>
            <w:r w:rsidR="00F70AD5" w:rsidRPr="00805C22">
              <w:rPr>
                <w:webHidden/>
              </w:rPr>
              <w:fldChar w:fldCharType="separate"/>
            </w:r>
            <w:r>
              <w:rPr>
                <w:webHidden/>
              </w:rPr>
              <w:t>10</w:t>
            </w:r>
            <w:r w:rsidR="00F70AD5" w:rsidRPr="00805C22">
              <w:rPr>
                <w:webHidden/>
              </w:rPr>
              <w:fldChar w:fldCharType="end"/>
            </w:r>
          </w:hyperlink>
        </w:p>
        <w:p w14:paraId="11D233EF" w14:textId="697B3A0A" w:rsidR="00F70AD5" w:rsidRPr="00805C22" w:rsidRDefault="006E191C" w:rsidP="003C58C0">
          <w:pPr>
            <w:pStyle w:val="TOC3"/>
            <w:spacing w:line="360" w:lineRule="auto"/>
            <w:rPr>
              <w:rFonts w:eastAsiaTheme="minorEastAsia"/>
              <w:kern w:val="2"/>
              <w:lang w:val="en-US"/>
              <w14:ligatures w14:val="standardContextual"/>
            </w:rPr>
          </w:pPr>
          <w:hyperlink w:anchor="_Toc147242363" w:history="1">
            <w:r w:rsidR="00F70AD5" w:rsidRPr="00805C22">
              <w:rPr>
                <w:rStyle w:val="Hyperlink"/>
                <w:rFonts w:ascii="Open Sans" w:hAnsi="Open Sans" w:cs="Open Sans"/>
                <w:szCs w:val="24"/>
              </w:rPr>
              <w:t>1.3 Overall vision of the South Baltic area</w:t>
            </w:r>
            <w:r w:rsidR="00F70AD5" w:rsidRPr="00805C22">
              <w:rPr>
                <w:webHidden/>
              </w:rPr>
              <w:tab/>
            </w:r>
            <w:r w:rsidR="00F70AD5" w:rsidRPr="00805C22">
              <w:rPr>
                <w:webHidden/>
              </w:rPr>
              <w:fldChar w:fldCharType="begin"/>
            </w:r>
            <w:r w:rsidR="00F70AD5" w:rsidRPr="00805C22">
              <w:rPr>
                <w:webHidden/>
              </w:rPr>
              <w:instrText xml:space="preserve"> PAGEREF _Toc147242363 \h </w:instrText>
            </w:r>
            <w:r w:rsidR="00F70AD5" w:rsidRPr="00805C22">
              <w:rPr>
                <w:webHidden/>
              </w:rPr>
            </w:r>
            <w:r w:rsidR="00F70AD5" w:rsidRPr="00805C22">
              <w:rPr>
                <w:webHidden/>
              </w:rPr>
              <w:fldChar w:fldCharType="separate"/>
            </w:r>
            <w:r>
              <w:rPr>
                <w:webHidden/>
              </w:rPr>
              <w:t>10</w:t>
            </w:r>
            <w:r w:rsidR="00F70AD5" w:rsidRPr="00805C22">
              <w:rPr>
                <w:webHidden/>
              </w:rPr>
              <w:fldChar w:fldCharType="end"/>
            </w:r>
          </w:hyperlink>
        </w:p>
        <w:p w14:paraId="481F21A1" w14:textId="2622E455" w:rsidR="00F70AD5" w:rsidRPr="00805C22" w:rsidRDefault="006E191C" w:rsidP="003C58C0">
          <w:pPr>
            <w:pStyle w:val="TOC3"/>
            <w:spacing w:line="360" w:lineRule="auto"/>
            <w:rPr>
              <w:rFonts w:eastAsiaTheme="minorEastAsia"/>
              <w:kern w:val="2"/>
              <w:lang w:val="en-US"/>
              <w14:ligatures w14:val="standardContextual"/>
            </w:rPr>
          </w:pPr>
          <w:hyperlink w:anchor="_Toc147242364" w:history="1">
            <w:r w:rsidR="00F70AD5" w:rsidRPr="00805C22">
              <w:rPr>
                <w:rStyle w:val="Hyperlink"/>
                <w:rFonts w:ascii="Open Sans" w:hAnsi="Open Sans" w:cs="Open Sans"/>
                <w:szCs w:val="24"/>
              </w:rPr>
              <w:t>1.4 Programme management bodies and structure</w:t>
            </w:r>
            <w:r w:rsidR="00F70AD5" w:rsidRPr="00805C22">
              <w:rPr>
                <w:webHidden/>
              </w:rPr>
              <w:tab/>
            </w:r>
            <w:r w:rsidR="00F70AD5" w:rsidRPr="00805C22">
              <w:rPr>
                <w:webHidden/>
              </w:rPr>
              <w:fldChar w:fldCharType="begin"/>
            </w:r>
            <w:r w:rsidR="00F70AD5" w:rsidRPr="00805C22">
              <w:rPr>
                <w:webHidden/>
              </w:rPr>
              <w:instrText xml:space="preserve"> PAGEREF _Toc147242364 \h </w:instrText>
            </w:r>
            <w:r w:rsidR="00F70AD5" w:rsidRPr="00805C22">
              <w:rPr>
                <w:webHidden/>
              </w:rPr>
            </w:r>
            <w:r w:rsidR="00F70AD5" w:rsidRPr="00805C22">
              <w:rPr>
                <w:webHidden/>
              </w:rPr>
              <w:fldChar w:fldCharType="separate"/>
            </w:r>
            <w:r>
              <w:rPr>
                <w:webHidden/>
              </w:rPr>
              <w:t>12</w:t>
            </w:r>
            <w:r w:rsidR="00F70AD5" w:rsidRPr="00805C22">
              <w:rPr>
                <w:webHidden/>
              </w:rPr>
              <w:fldChar w:fldCharType="end"/>
            </w:r>
          </w:hyperlink>
        </w:p>
        <w:p w14:paraId="6D59F41A" w14:textId="0CBF058F" w:rsidR="00F70AD5" w:rsidRPr="00805C22" w:rsidRDefault="006E191C" w:rsidP="003C58C0">
          <w:pPr>
            <w:pStyle w:val="TOC2"/>
            <w:spacing w:line="360" w:lineRule="auto"/>
            <w:rPr>
              <w:rFonts w:eastAsiaTheme="minorEastAsia"/>
              <w:kern w:val="2"/>
              <w:lang w:val="en-US"/>
              <w14:ligatures w14:val="standardContextual"/>
            </w:rPr>
          </w:pPr>
          <w:hyperlink w:anchor="_Toc147242365" w:history="1">
            <w:r w:rsidR="00F70AD5" w:rsidRPr="00805C22">
              <w:rPr>
                <w:rStyle w:val="Hyperlink"/>
                <w:rFonts w:ascii="Open Sans" w:hAnsi="Open Sans" w:cs="Open Sans"/>
                <w:szCs w:val="24"/>
              </w:rPr>
              <w:t>2 SOUTH BALTIC PROGRAMME AREA</w:t>
            </w:r>
            <w:r w:rsidR="00F70AD5" w:rsidRPr="00805C22">
              <w:rPr>
                <w:webHidden/>
              </w:rPr>
              <w:tab/>
            </w:r>
            <w:r w:rsidR="00F70AD5" w:rsidRPr="00805C22">
              <w:rPr>
                <w:webHidden/>
              </w:rPr>
              <w:fldChar w:fldCharType="begin"/>
            </w:r>
            <w:r w:rsidR="00F70AD5" w:rsidRPr="00805C22">
              <w:rPr>
                <w:webHidden/>
              </w:rPr>
              <w:instrText xml:space="preserve"> PAGEREF _Toc147242365 \h </w:instrText>
            </w:r>
            <w:r w:rsidR="00F70AD5" w:rsidRPr="00805C22">
              <w:rPr>
                <w:webHidden/>
              </w:rPr>
            </w:r>
            <w:r w:rsidR="00F70AD5" w:rsidRPr="00805C22">
              <w:rPr>
                <w:webHidden/>
              </w:rPr>
              <w:fldChar w:fldCharType="separate"/>
            </w:r>
            <w:r>
              <w:rPr>
                <w:webHidden/>
              </w:rPr>
              <w:t>15</w:t>
            </w:r>
            <w:r w:rsidR="00F70AD5" w:rsidRPr="00805C22">
              <w:rPr>
                <w:webHidden/>
              </w:rPr>
              <w:fldChar w:fldCharType="end"/>
            </w:r>
          </w:hyperlink>
        </w:p>
        <w:p w14:paraId="2EF688C0" w14:textId="49C1E088" w:rsidR="00F70AD5" w:rsidRPr="00805C22" w:rsidRDefault="006E191C" w:rsidP="003C58C0">
          <w:pPr>
            <w:pStyle w:val="TOC2"/>
            <w:spacing w:line="360" w:lineRule="auto"/>
            <w:rPr>
              <w:rFonts w:eastAsiaTheme="minorEastAsia"/>
              <w:kern w:val="2"/>
              <w:lang w:val="en-US"/>
              <w14:ligatures w14:val="standardContextual"/>
            </w:rPr>
          </w:pPr>
          <w:hyperlink w:anchor="_Toc147242366" w:history="1">
            <w:r w:rsidR="00F70AD5" w:rsidRPr="00805C22">
              <w:rPr>
                <w:rStyle w:val="Hyperlink"/>
                <w:rFonts w:ascii="Open Sans" w:hAnsi="Open Sans" w:cs="Open Sans"/>
                <w:szCs w:val="24"/>
              </w:rPr>
              <w:t>3 COMPLEMENTARITIES WITH OTHER INTERREG PROGRAMMES</w:t>
            </w:r>
            <w:r w:rsidR="00F70AD5" w:rsidRPr="00805C22">
              <w:rPr>
                <w:webHidden/>
              </w:rPr>
              <w:tab/>
            </w:r>
            <w:r w:rsidR="00F70AD5" w:rsidRPr="00805C22">
              <w:rPr>
                <w:webHidden/>
              </w:rPr>
              <w:fldChar w:fldCharType="begin"/>
            </w:r>
            <w:r w:rsidR="00F70AD5" w:rsidRPr="00805C22">
              <w:rPr>
                <w:webHidden/>
              </w:rPr>
              <w:instrText xml:space="preserve"> PAGEREF _Toc147242366 \h </w:instrText>
            </w:r>
            <w:r w:rsidR="00F70AD5" w:rsidRPr="00805C22">
              <w:rPr>
                <w:webHidden/>
              </w:rPr>
            </w:r>
            <w:r w:rsidR="00F70AD5" w:rsidRPr="00805C22">
              <w:rPr>
                <w:webHidden/>
              </w:rPr>
              <w:fldChar w:fldCharType="separate"/>
            </w:r>
            <w:r>
              <w:rPr>
                <w:webHidden/>
              </w:rPr>
              <w:t>16</w:t>
            </w:r>
            <w:r w:rsidR="00F70AD5" w:rsidRPr="00805C22">
              <w:rPr>
                <w:webHidden/>
              </w:rPr>
              <w:fldChar w:fldCharType="end"/>
            </w:r>
          </w:hyperlink>
        </w:p>
        <w:p w14:paraId="42E8F89A" w14:textId="0E9527CE" w:rsidR="00F70AD5" w:rsidRPr="00805C22" w:rsidRDefault="006E191C" w:rsidP="003C58C0">
          <w:pPr>
            <w:pStyle w:val="TOC2"/>
            <w:spacing w:line="360" w:lineRule="auto"/>
            <w:rPr>
              <w:rFonts w:eastAsiaTheme="minorEastAsia"/>
              <w:kern w:val="2"/>
              <w:lang w:val="en-US"/>
              <w14:ligatures w14:val="standardContextual"/>
            </w:rPr>
          </w:pPr>
          <w:hyperlink w:anchor="_Toc147242367" w:history="1">
            <w:r w:rsidR="00F70AD5" w:rsidRPr="00805C22">
              <w:rPr>
                <w:rStyle w:val="Hyperlink"/>
                <w:rFonts w:ascii="Open Sans" w:hAnsi="Open Sans" w:cs="Open Sans"/>
                <w:szCs w:val="24"/>
              </w:rPr>
              <w:t>4 COMPLIANCE WITH DNSH PRINCIPLE, EUSBSR AND OTHER INITIATIVES</w:t>
            </w:r>
            <w:r w:rsidR="00F70AD5" w:rsidRPr="00805C22">
              <w:rPr>
                <w:webHidden/>
              </w:rPr>
              <w:tab/>
            </w:r>
            <w:r w:rsidR="00F70AD5" w:rsidRPr="00805C22">
              <w:rPr>
                <w:webHidden/>
              </w:rPr>
              <w:fldChar w:fldCharType="begin"/>
            </w:r>
            <w:r w:rsidR="00F70AD5" w:rsidRPr="00805C22">
              <w:rPr>
                <w:webHidden/>
              </w:rPr>
              <w:instrText xml:space="preserve"> PAGEREF _Toc147242367 \h </w:instrText>
            </w:r>
            <w:r w:rsidR="00F70AD5" w:rsidRPr="00805C22">
              <w:rPr>
                <w:webHidden/>
              </w:rPr>
            </w:r>
            <w:r w:rsidR="00F70AD5" w:rsidRPr="00805C22">
              <w:rPr>
                <w:webHidden/>
              </w:rPr>
              <w:fldChar w:fldCharType="separate"/>
            </w:r>
            <w:r>
              <w:rPr>
                <w:webHidden/>
              </w:rPr>
              <w:t>19</w:t>
            </w:r>
            <w:r w:rsidR="00F70AD5" w:rsidRPr="00805C22">
              <w:rPr>
                <w:webHidden/>
              </w:rPr>
              <w:fldChar w:fldCharType="end"/>
            </w:r>
          </w:hyperlink>
        </w:p>
        <w:p w14:paraId="7E961764" w14:textId="1E2B98F5" w:rsidR="00F70AD5" w:rsidRPr="00805C22" w:rsidRDefault="006E191C" w:rsidP="003C58C0">
          <w:pPr>
            <w:pStyle w:val="TOC3"/>
            <w:spacing w:line="360" w:lineRule="auto"/>
            <w:rPr>
              <w:rFonts w:eastAsiaTheme="minorEastAsia"/>
              <w:kern w:val="2"/>
              <w:lang w:val="en-US"/>
              <w14:ligatures w14:val="standardContextual"/>
            </w:rPr>
          </w:pPr>
          <w:hyperlink w:anchor="_Toc147242368" w:history="1">
            <w:r w:rsidR="00F70AD5" w:rsidRPr="00805C22">
              <w:rPr>
                <w:rStyle w:val="Hyperlink"/>
                <w:rFonts w:ascii="Open Sans" w:hAnsi="Open Sans" w:cs="Open Sans"/>
                <w:szCs w:val="24"/>
              </w:rPr>
              <w:t>4.1 Compliance with the DNSH principle</w:t>
            </w:r>
            <w:r w:rsidR="00F70AD5" w:rsidRPr="00805C22">
              <w:rPr>
                <w:webHidden/>
              </w:rPr>
              <w:tab/>
            </w:r>
            <w:r w:rsidR="00F70AD5" w:rsidRPr="00805C22">
              <w:rPr>
                <w:webHidden/>
              </w:rPr>
              <w:fldChar w:fldCharType="begin"/>
            </w:r>
            <w:r w:rsidR="00F70AD5" w:rsidRPr="00805C22">
              <w:rPr>
                <w:webHidden/>
              </w:rPr>
              <w:instrText xml:space="preserve"> PAGEREF _Toc147242368 \h </w:instrText>
            </w:r>
            <w:r w:rsidR="00F70AD5" w:rsidRPr="00805C22">
              <w:rPr>
                <w:webHidden/>
              </w:rPr>
            </w:r>
            <w:r w:rsidR="00F70AD5" w:rsidRPr="00805C22">
              <w:rPr>
                <w:webHidden/>
              </w:rPr>
              <w:fldChar w:fldCharType="separate"/>
            </w:r>
            <w:r>
              <w:rPr>
                <w:webHidden/>
              </w:rPr>
              <w:t>19</w:t>
            </w:r>
            <w:r w:rsidR="00F70AD5" w:rsidRPr="00805C22">
              <w:rPr>
                <w:webHidden/>
              </w:rPr>
              <w:fldChar w:fldCharType="end"/>
            </w:r>
          </w:hyperlink>
        </w:p>
        <w:p w14:paraId="5F0C434C" w14:textId="1BADFE6C" w:rsidR="00F70AD5" w:rsidRPr="00805C22" w:rsidRDefault="006E191C" w:rsidP="003C58C0">
          <w:pPr>
            <w:pStyle w:val="TOC3"/>
            <w:spacing w:line="360" w:lineRule="auto"/>
            <w:rPr>
              <w:rFonts w:eastAsiaTheme="minorEastAsia"/>
              <w:kern w:val="2"/>
              <w:lang w:val="en-US"/>
              <w14:ligatures w14:val="standardContextual"/>
            </w:rPr>
          </w:pPr>
          <w:hyperlink w:anchor="_Toc147242369" w:history="1">
            <w:r w:rsidR="00F70AD5" w:rsidRPr="00805C22">
              <w:rPr>
                <w:rStyle w:val="Hyperlink"/>
                <w:rFonts w:ascii="Open Sans" w:hAnsi="Open Sans" w:cs="Open Sans"/>
                <w:szCs w:val="24"/>
              </w:rPr>
              <w:t>4.2 Contribution to the European Union Strategy for the Baltic Sea Region</w:t>
            </w:r>
            <w:r w:rsidR="00F70AD5" w:rsidRPr="00805C22">
              <w:rPr>
                <w:webHidden/>
              </w:rPr>
              <w:tab/>
            </w:r>
            <w:r w:rsidR="00F70AD5" w:rsidRPr="00805C22">
              <w:rPr>
                <w:webHidden/>
              </w:rPr>
              <w:fldChar w:fldCharType="begin"/>
            </w:r>
            <w:r w:rsidR="00F70AD5" w:rsidRPr="00805C22">
              <w:rPr>
                <w:webHidden/>
              </w:rPr>
              <w:instrText xml:space="preserve"> PAGEREF _Toc147242369 \h </w:instrText>
            </w:r>
            <w:r w:rsidR="00F70AD5" w:rsidRPr="00805C22">
              <w:rPr>
                <w:webHidden/>
              </w:rPr>
            </w:r>
            <w:r w:rsidR="00F70AD5" w:rsidRPr="00805C22">
              <w:rPr>
                <w:webHidden/>
              </w:rPr>
              <w:fldChar w:fldCharType="separate"/>
            </w:r>
            <w:r>
              <w:rPr>
                <w:webHidden/>
              </w:rPr>
              <w:t>20</w:t>
            </w:r>
            <w:r w:rsidR="00F70AD5" w:rsidRPr="00805C22">
              <w:rPr>
                <w:webHidden/>
              </w:rPr>
              <w:fldChar w:fldCharType="end"/>
            </w:r>
          </w:hyperlink>
        </w:p>
        <w:p w14:paraId="747EB111" w14:textId="74D82BCC" w:rsidR="00F70AD5" w:rsidRPr="00805C22" w:rsidRDefault="006E191C" w:rsidP="003C58C0">
          <w:pPr>
            <w:pStyle w:val="TOC3"/>
            <w:spacing w:line="360" w:lineRule="auto"/>
            <w:rPr>
              <w:rFonts w:eastAsiaTheme="minorEastAsia"/>
              <w:kern w:val="2"/>
              <w:lang w:val="en-US"/>
              <w14:ligatures w14:val="standardContextual"/>
            </w:rPr>
          </w:pPr>
          <w:hyperlink w:anchor="_Toc147242370" w:history="1">
            <w:r w:rsidR="00F70AD5" w:rsidRPr="00805C22">
              <w:rPr>
                <w:rStyle w:val="Hyperlink"/>
                <w:rFonts w:ascii="Open Sans" w:hAnsi="Open Sans" w:cs="Open Sans"/>
                <w:szCs w:val="24"/>
              </w:rPr>
              <w:t>4.3 European Green Deal and other EU initiatives</w:t>
            </w:r>
            <w:r w:rsidR="00F70AD5" w:rsidRPr="00805C22">
              <w:rPr>
                <w:webHidden/>
              </w:rPr>
              <w:tab/>
            </w:r>
            <w:r w:rsidR="00F70AD5" w:rsidRPr="00805C22">
              <w:rPr>
                <w:webHidden/>
              </w:rPr>
              <w:fldChar w:fldCharType="begin"/>
            </w:r>
            <w:r w:rsidR="00F70AD5" w:rsidRPr="00805C22">
              <w:rPr>
                <w:webHidden/>
              </w:rPr>
              <w:instrText xml:space="preserve"> PAGEREF _Toc147242370 \h </w:instrText>
            </w:r>
            <w:r w:rsidR="00F70AD5" w:rsidRPr="00805C22">
              <w:rPr>
                <w:webHidden/>
              </w:rPr>
            </w:r>
            <w:r w:rsidR="00F70AD5" w:rsidRPr="00805C22">
              <w:rPr>
                <w:webHidden/>
              </w:rPr>
              <w:fldChar w:fldCharType="separate"/>
            </w:r>
            <w:r>
              <w:rPr>
                <w:webHidden/>
              </w:rPr>
              <w:t>21</w:t>
            </w:r>
            <w:r w:rsidR="00F70AD5" w:rsidRPr="00805C22">
              <w:rPr>
                <w:webHidden/>
              </w:rPr>
              <w:fldChar w:fldCharType="end"/>
            </w:r>
          </w:hyperlink>
        </w:p>
        <w:p w14:paraId="3B5BE00C" w14:textId="5AF228BE" w:rsidR="00F70AD5" w:rsidRPr="00805C22" w:rsidRDefault="006E191C" w:rsidP="003C58C0">
          <w:pPr>
            <w:pStyle w:val="TOC3"/>
            <w:spacing w:line="360" w:lineRule="auto"/>
            <w:rPr>
              <w:rFonts w:eastAsiaTheme="minorEastAsia"/>
              <w:kern w:val="2"/>
              <w:lang w:val="en-US"/>
              <w14:ligatures w14:val="standardContextual"/>
            </w:rPr>
          </w:pPr>
          <w:hyperlink w:anchor="_Toc147242371" w:history="1">
            <w:r w:rsidR="00F70AD5" w:rsidRPr="00805C22">
              <w:rPr>
                <w:rStyle w:val="Hyperlink"/>
                <w:rFonts w:ascii="Open Sans" w:hAnsi="Open Sans" w:cs="Open Sans"/>
                <w:szCs w:val="24"/>
              </w:rPr>
              <w:t>4.4 Horizontal principles for the Interreg Programmes</w:t>
            </w:r>
            <w:r w:rsidR="00F70AD5" w:rsidRPr="00805C22">
              <w:rPr>
                <w:webHidden/>
              </w:rPr>
              <w:tab/>
            </w:r>
            <w:r w:rsidR="00F70AD5" w:rsidRPr="00805C22">
              <w:rPr>
                <w:webHidden/>
              </w:rPr>
              <w:fldChar w:fldCharType="begin"/>
            </w:r>
            <w:r w:rsidR="00F70AD5" w:rsidRPr="00805C22">
              <w:rPr>
                <w:webHidden/>
              </w:rPr>
              <w:instrText xml:space="preserve"> PAGEREF _Toc147242371 \h </w:instrText>
            </w:r>
            <w:r w:rsidR="00F70AD5" w:rsidRPr="00805C22">
              <w:rPr>
                <w:webHidden/>
              </w:rPr>
            </w:r>
            <w:r w:rsidR="00F70AD5" w:rsidRPr="00805C22">
              <w:rPr>
                <w:webHidden/>
              </w:rPr>
              <w:fldChar w:fldCharType="separate"/>
            </w:r>
            <w:r>
              <w:rPr>
                <w:webHidden/>
              </w:rPr>
              <w:t>22</w:t>
            </w:r>
            <w:r w:rsidR="00F70AD5" w:rsidRPr="00805C22">
              <w:rPr>
                <w:webHidden/>
              </w:rPr>
              <w:fldChar w:fldCharType="end"/>
            </w:r>
          </w:hyperlink>
        </w:p>
        <w:p w14:paraId="4EAF0466" w14:textId="2284C7C7" w:rsidR="00F70AD5" w:rsidRPr="00805C22" w:rsidRDefault="006E191C" w:rsidP="003C58C0">
          <w:pPr>
            <w:pStyle w:val="TOC2"/>
            <w:spacing w:line="360" w:lineRule="auto"/>
            <w:rPr>
              <w:rFonts w:eastAsiaTheme="minorEastAsia"/>
              <w:kern w:val="2"/>
              <w:lang w:val="en-US"/>
              <w14:ligatures w14:val="standardContextual"/>
            </w:rPr>
          </w:pPr>
          <w:hyperlink w:anchor="_Toc147242372" w:history="1">
            <w:r w:rsidR="00F70AD5" w:rsidRPr="00805C22">
              <w:rPr>
                <w:rStyle w:val="Hyperlink"/>
                <w:rFonts w:ascii="Open Sans" w:hAnsi="Open Sans" w:cs="Open Sans"/>
                <w:szCs w:val="24"/>
              </w:rPr>
              <w:t>5 FINANCING OF THE SOUTH BALTIC PROGRAMME</w:t>
            </w:r>
            <w:r w:rsidR="00F70AD5" w:rsidRPr="00805C22">
              <w:rPr>
                <w:webHidden/>
              </w:rPr>
              <w:tab/>
            </w:r>
            <w:r w:rsidR="00F70AD5" w:rsidRPr="00805C22">
              <w:rPr>
                <w:webHidden/>
              </w:rPr>
              <w:fldChar w:fldCharType="begin"/>
            </w:r>
            <w:r w:rsidR="00F70AD5" w:rsidRPr="00805C22">
              <w:rPr>
                <w:webHidden/>
              </w:rPr>
              <w:instrText xml:space="preserve"> PAGEREF _Toc147242372 \h </w:instrText>
            </w:r>
            <w:r w:rsidR="00F70AD5" w:rsidRPr="00805C22">
              <w:rPr>
                <w:webHidden/>
              </w:rPr>
            </w:r>
            <w:r w:rsidR="00F70AD5" w:rsidRPr="00805C22">
              <w:rPr>
                <w:webHidden/>
              </w:rPr>
              <w:fldChar w:fldCharType="separate"/>
            </w:r>
            <w:r>
              <w:rPr>
                <w:webHidden/>
              </w:rPr>
              <w:t>36</w:t>
            </w:r>
            <w:r w:rsidR="00F70AD5" w:rsidRPr="00805C22">
              <w:rPr>
                <w:webHidden/>
              </w:rPr>
              <w:fldChar w:fldCharType="end"/>
            </w:r>
          </w:hyperlink>
        </w:p>
        <w:p w14:paraId="2B48A74E" w14:textId="684010CA" w:rsidR="00F70AD5" w:rsidRPr="00805C22" w:rsidRDefault="006E191C" w:rsidP="003C58C0">
          <w:pPr>
            <w:pStyle w:val="TOC2"/>
            <w:spacing w:line="360" w:lineRule="auto"/>
            <w:rPr>
              <w:rFonts w:eastAsiaTheme="minorEastAsia"/>
              <w:kern w:val="2"/>
              <w:lang w:val="en-US"/>
              <w14:ligatures w14:val="standardContextual"/>
            </w:rPr>
          </w:pPr>
          <w:hyperlink w:anchor="_Toc147242373" w:history="1">
            <w:r w:rsidR="00F70AD5" w:rsidRPr="00805C22">
              <w:rPr>
                <w:rStyle w:val="Hyperlink"/>
                <w:rFonts w:ascii="Open Sans" w:hAnsi="Open Sans" w:cs="Open Sans"/>
                <w:szCs w:val="24"/>
              </w:rPr>
              <w:t>6 CO-FINANCING RATES</w:t>
            </w:r>
            <w:r w:rsidR="00F70AD5" w:rsidRPr="00805C22">
              <w:rPr>
                <w:webHidden/>
              </w:rPr>
              <w:tab/>
            </w:r>
            <w:r w:rsidR="00F70AD5" w:rsidRPr="00805C22">
              <w:rPr>
                <w:webHidden/>
              </w:rPr>
              <w:fldChar w:fldCharType="begin"/>
            </w:r>
            <w:r w:rsidR="00F70AD5" w:rsidRPr="00805C22">
              <w:rPr>
                <w:webHidden/>
              </w:rPr>
              <w:instrText xml:space="preserve"> PAGEREF _Toc147242373 \h </w:instrText>
            </w:r>
            <w:r w:rsidR="00F70AD5" w:rsidRPr="00805C22">
              <w:rPr>
                <w:webHidden/>
              </w:rPr>
            </w:r>
            <w:r w:rsidR="00F70AD5" w:rsidRPr="00805C22">
              <w:rPr>
                <w:webHidden/>
              </w:rPr>
              <w:fldChar w:fldCharType="separate"/>
            </w:r>
            <w:r>
              <w:rPr>
                <w:webHidden/>
              </w:rPr>
              <w:t>39</w:t>
            </w:r>
            <w:r w:rsidR="00F70AD5" w:rsidRPr="00805C22">
              <w:rPr>
                <w:webHidden/>
              </w:rPr>
              <w:fldChar w:fldCharType="end"/>
            </w:r>
          </w:hyperlink>
        </w:p>
        <w:p w14:paraId="1D47248B" w14:textId="7ADA1CCF" w:rsidR="00F70AD5" w:rsidRPr="00805C22" w:rsidRDefault="006E191C" w:rsidP="003C58C0">
          <w:pPr>
            <w:pStyle w:val="TOC1"/>
            <w:spacing w:line="360" w:lineRule="auto"/>
            <w:rPr>
              <w:rFonts w:eastAsiaTheme="minorEastAsia"/>
              <w:kern w:val="2"/>
              <w14:ligatures w14:val="standardContextual"/>
            </w:rPr>
          </w:pPr>
          <w:hyperlink w:anchor="_Toc147242374" w:history="1">
            <w:r w:rsidR="00F70AD5" w:rsidRPr="00805C22">
              <w:rPr>
                <w:rStyle w:val="Hyperlink"/>
                <w:szCs w:val="24"/>
              </w:rPr>
              <w:t>II DETAILED DESCRIPTION OF PRIORITIES</w:t>
            </w:r>
            <w:r w:rsidR="00F70AD5" w:rsidRPr="00805C22">
              <w:rPr>
                <w:webHidden/>
              </w:rPr>
              <w:tab/>
            </w:r>
            <w:r w:rsidR="00F70AD5" w:rsidRPr="00805C22">
              <w:rPr>
                <w:webHidden/>
              </w:rPr>
              <w:fldChar w:fldCharType="begin"/>
            </w:r>
            <w:r w:rsidR="00F70AD5" w:rsidRPr="00805C22">
              <w:rPr>
                <w:webHidden/>
              </w:rPr>
              <w:instrText xml:space="preserve"> PAGEREF _Toc147242374 \h </w:instrText>
            </w:r>
            <w:r w:rsidR="00F70AD5" w:rsidRPr="00805C22">
              <w:rPr>
                <w:webHidden/>
              </w:rPr>
            </w:r>
            <w:r w:rsidR="00F70AD5" w:rsidRPr="00805C22">
              <w:rPr>
                <w:webHidden/>
              </w:rPr>
              <w:fldChar w:fldCharType="separate"/>
            </w:r>
            <w:r>
              <w:rPr>
                <w:webHidden/>
              </w:rPr>
              <w:t>39</w:t>
            </w:r>
            <w:r w:rsidR="00F70AD5" w:rsidRPr="00805C22">
              <w:rPr>
                <w:webHidden/>
              </w:rPr>
              <w:fldChar w:fldCharType="end"/>
            </w:r>
          </w:hyperlink>
        </w:p>
        <w:p w14:paraId="4D51ADBB" w14:textId="62B2CEF0" w:rsidR="00F70AD5" w:rsidRPr="00805C22" w:rsidRDefault="006E191C" w:rsidP="003C58C0">
          <w:pPr>
            <w:pStyle w:val="TOC2"/>
            <w:spacing w:line="360" w:lineRule="auto"/>
            <w:rPr>
              <w:rFonts w:eastAsiaTheme="minorEastAsia"/>
              <w:kern w:val="2"/>
              <w:lang w:val="en-US"/>
              <w14:ligatures w14:val="standardContextual"/>
            </w:rPr>
          </w:pPr>
          <w:hyperlink w:anchor="_Toc147242375" w:history="1">
            <w:r w:rsidR="00F70AD5" w:rsidRPr="00805C22">
              <w:rPr>
                <w:rStyle w:val="Hyperlink"/>
                <w:rFonts w:ascii="Open Sans" w:hAnsi="Open Sans" w:cs="Open Sans"/>
                <w:szCs w:val="24"/>
              </w:rPr>
              <w:t>1 PRIORITY 1 – Innovative South Baltic – enhancing level of innovation and internationalization of local actors</w:t>
            </w:r>
            <w:r w:rsidR="00F70AD5" w:rsidRPr="00805C22">
              <w:rPr>
                <w:webHidden/>
              </w:rPr>
              <w:tab/>
            </w:r>
            <w:r w:rsidR="00F70AD5" w:rsidRPr="00805C22">
              <w:rPr>
                <w:webHidden/>
              </w:rPr>
              <w:fldChar w:fldCharType="begin"/>
            </w:r>
            <w:r w:rsidR="00F70AD5" w:rsidRPr="00805C22">
              <w:rPr>
                <w:webHidden/>
              </w:rPr>
              <w:instrText xml:space="preserve"> PAGEREF _Toc147242375 \h </w:instrText>
            </w:r>
            <w:r w:rsidR="00F70AD5" w:rsidRPr="00805C22">
              <w:rPr>
                <w:webHidden/>
              </w:rPr>
            </w:r>
            <w:r w:rsidR="00F70AD5" w:rsidRPr="00805C22">
              <w:rPr>
                <w:webHidden/>
              </w:rPr>
              <w:fldChar w:fldCharType="separate"/>
            </w:r>
            <w:r>
              <w:rPr>
                <w:webHidden/>
              </w:rPr>
              <w:t>40</w:t>
            </w:r>
            <w:r w:rsidR="00F70AD5" w:rsidRPr="00805C22">
              <w:rPr>
                <w:webHidden/>
              </w:rPr>
              <w:fldChar w:fldCharType="end"/>
            </w:r>
          </w:hyperlink>
        </w:p>
        <w:p w14:paraId="5182B27A" w14:textId="71F83348" w:rsidR="00F70AD5" w:rsidRPr="00805C22" w:rsidRDefault="006E191C" w:rsidP="003C58C0">
          <w:pPr>
            <w:pStyle w:val="TOC2"/>
            <w:spacing w:line="360" w:lineRule="auto"/>
            <w:rPr>
              <w:rFonts w:eastAsiaTheme="minorEastAsia"/>
              <w:kern w:val="2"/>
              <w:lang w:val="en-US"/>
              <w14:ligatures w14:val="standardContextual"/>
            </w:rPr>
          </w:pPr>
          <w:hyperlink w:anchor="_Toc147242376" w:history="1">
            <w:r w:rsidR="00F70AD5" w:rsidRPr="00805C22">
              <w:rPr>
                <w:rStyle w:val="Hyperlink"/>
                <w:rFonts w:ascii="Open Sans" w:hAnsi="Open Sans" w:cs="Open Sans"/>
                <w:szCs w:val="24"/>
              </w:rPr>
              <w:t>2 PRIORITY 2 – Sustainable South Baltic -promoting sustainable development and blue and green economy</w:t>
            </w:r>
            <w:r w:rsidR="00F70AD5" w:rsidRPr="00805C22">
              <w:rPr>
                <w:webHidden/>
              </w:rPr>
              <w:tab/>
            </w:r>
            <w:r w:rsidR="00F70AD5" w:rsidRPr="00805C22">
              <w:rPr>
                <w:webHidden/>
              </w:rPr>
              <w:fldChar w:fldCharType="begin"/>
            </w:r>
            <w:r w:rsidR="00F70AD5" w:rsidRPr="00805C22">
              <w:rPr>
                <w:webHidden/>
              </w:rPr>
              <w:instrText xml:space="preserve"> PAGEREF _Toc147242376 \h </w:instrText>
            </w:r>
            <w:r w:rsidR="00F70AD5" w:rsidRPr="00805C22">
              <w:rPr>
                <w:webHidden/>
              </w:rPr>
            </w:r>
            <w:r w:rsidR="00F70AD5" w:rsidRPr="00805C22">
              <w:rPr>
                <w:webHidden/>
              </w:rPr>
              <w:fldChar w:fldCharType="separate"/>
            </w:r>
            <w:r>
              <w:rPr>
                <w:webHidden/>
              </w:rPr>
              <w:t>45</w:t>
            </w:r>
            <w:r w:rsidR="00F70AD5" w:rsidRPr="00805C22">
              <w:rPr>
                <w:webHidden/>
              </w:rPr>
              <w:fldChar w:fldCharType="end"/>
            </w:r>
          </w:hyperlink>
        </w:p>
        <w:p w14:paraId="1E05E078" w14:textId="425EA6D4" w:rsidR="00F70AD5" w:rsidRPr="00805C22" w:rsidRDefault="006E191C" w:rsidP="003C58C0">
          <w:pPr>
            <w:pStyle w:val="TOC2"/>
            <w:spacing w:line="360" w:lineRule="auto"/>
            <w:rPr>
              <w:rFonts w:eastAsiaTheme="minorEastAsia"/>
              <w:kern w:val="2"/>
              <w:lang w:val="en-US"/>
              <w14:ligatures w14:val="standardContextual"/>
            </w:rPr>
          </w:pPr>
          <w:hyperlink w:anchor="_Toc147242377" w:history="1">
            <w:r w:rsidR="00F70AD5" w:rsidRPr="00805C22">
              <w:rPr>
                <w:rStyle w:val="Hyperlink"/>
                <w:rFonts w:ascii="Open Sans" w:hAnsi="Open Sans" w:cs="Open Sans"/>
                <w:szCs w:val="24"/>
              </w:rPr>
              <w:t>3 PRIORITY 3 – Attractive South Baltic – activate the tourist and cultural potential of South Baltic Area</w:t>
            </w:r>
            <w:r w:rsidR="00F70AD5" w:rsidRPr="00805C22">
              <w:rPr>
                <w:webHidden/>
              </w:rPr>
              <w:tab/>
            </w:r>
            <w:r w:rsidR="00F70AD5" w:rsidRPr="00805C22">
              <w:rPr>
                <w:webHidden/>
              </w:rPr>
              <w:fldChar w:fldCharType="begin"/>
            </w:r>
            <w:r w:rsidR="00F70AD5" w:rsidRPr="00805C22">
              <w:rPr>
                <w:webHidden/>
              </w:rPr>
              <w:instrText xml:space="preserve"> PAGEREF _Toc147242377 \h </w:instrText>
            </w:r>
            <w:r w:rsidR="00F70AD5" w:rsidRPr="00805C22">
              <w:rPr>
                <w:webHidden/>
              </w:rPr>
            </w:r>
            <w:r w:rsidR="00F70AD5" w:rsidRPr="00805C22">
              <w:rPr>
                <w:webHidden/>
              </w:rPr>
              <w:fldChar w:fldCharType="separate"/>
            </w:r>
            <w:r>
              <w:rPr>
                <w:webHidden/>
              </w:rPr>
              <w:t>52</w:t>
            </w:r>
            <w:r w:rsidR="00F70AD5" w:rsidRPr="00805C22">
              <w:rPr>
                <w:webHidden/>
              </w:rPr>
              <w:fldChar w:fldCharType="end"/>
            </w:r>
          </w:hyperlink>
        </w:p>
        <w:p w14:paraId="62810F84" w14:textId="729569A1" w:rsidR="00F70AD5" w:rsidRPr="00805C22" w:rsidRDefault="006E191C" w:rsidP="003C58C0">
          <w:pPr>
            <w:pStyle w:val="TOC2"/>
            <w:spacing w:line="360" w:lineRule="auto"/>
            <w:rPr>
              <w:rFonts w:eastAsiaTheme="minorEastAsia"/>
              <w:kern w:val="2"/>
              <w:lang w:val="en-US"/>
              <w14:ligatures w14:val="standardContextual"/>
            </w:rPr>
          </w:pPr>
          <w:hyperlink w:anchor="_Toc147242378" w:history="1">
            <w:r w:rsidR="00F70AD5" w:rsidRPr="00805C22">
              <w:rPr>
                <w:rStyle w:val="Hyperlink"/>
                <w:rFonts w:ascii="Open Sans" w:hAnsi="Open Sans" w:cs="Open Sans"/>
                <w:szCs w:val="24"/>
              </w:rPr>
              <w:t>4 PRIORITY 4 – Active South Baltic – improving cooperation governance</w:t>
            </w:r>
            <w:r w:rsidR="00F70AD5" w:rsidRPr="00805C22">
              <w:rPr>
                <w:webHidden/>
              </w:rPr>
              <w:tab/>
            </w:r>
            <w:r w:rsidR="00F70AD5" w:rsidRPr="00805C22">
              <w:rPr>
                <w:webHidden/>
              </w:rPr>
              <w:fldChar w:fldCharType="begin"/>
            </w:r>
            <w:r w:rsidR="00F70AD5" w:rsidRPr="00805C22">
              <w:rPr>
                <w:webHidden/>
              </w:rPr>
              <w:instrText xml:space="preserve"> PAGEREF _Toc147242378 \h </w:instrText>
            </w:r>
            <w:r w:rsidR="00F70AD5" w:rsidRPr="00805C22">
              <w:rPr>
                <w:webHidden/>
              </w:rPr>
            </w:r>
            <w:r w:rsidR="00F70AD5" w:rsidRPr="00805C22">
              <w:rPr>
                <w:webHidden/>
              </w:rPr>
              <w:fldChar w:fldCharType="separate"/>
            </w:r>
            <w:r>
              <w:rPr>
                <w:webHidden/>
              </w:rPr>
              <w:t>55</w:t>
            </w:r>
            <w:r w:rsidR="00F70AD5" w:rsidRPr="00805C22">
              <w:rPr>
                <w:webHidden/>
              </w:rPr>
              <w:fldChar w:fldCharType="end"/>
            </w:r>
          </w:hyperlink>
        </w:p>
        <w:p w14:paraId="0C3D3670" w14:textId="178045BE" w:rsidR="00F70AD5" w:rsidRPr="00805C22" w:rsidRDefault="006E191C" w:rsidP="003C58C0">
          <w:pPr>
            <w:pStyle w:val="TOC1"/>
            <w:spacing w:line="360" w:lineRule="auto"/>
            <w:rPr>
              <w:rFonts w:eastAsiaTheme="minorEastAsia"/>
              <w:kern w:val="2"/>
              <w14:ligatures w14:val="standardContextual"/>
            </w:rPr>
          </w:pPr>
          <w:hyperlink w:anchor="_Toc147242379" w:history="1">
            <w:r w:rsidR="00F70AD5" w:rsidRPr="00805C22">
              <w:rPr>
                <w:rStyle w:val="Hyperlink"/>
                <w:szCs w:val="24"/>
              </w:rPr>
              <w:t>III SPECIFIC FEATURES OF THE SOUTH BALTIC PROJECTS</w:t>
            </w:r>
            <w:r w:rsidR="00F70AD5" w:rsidRPr="00805C22">
              <w:rPr>
                <w:webHidden/>
              </w:rPr>
              <w:tab/>
            </w:r>
            <w:r w:rsidR="00F70AD5" w:rsidRPr="00805C22">
              <w:rPr>
                <w:webHidden/>
              </w:rPr>
              <w:fldChar w:fldCharType="begin"/>
            </w:r>
            <w:r w:rsidR="00F70AD5" w:rsidRPr="00805C22">
              <w:rPr>
                <w:webHidden/>
              </w:rPr>
              <w:instrText xml:space="preserve"> PAGEREF _Toc147242379 \h </w:instrText>
            </w:r>
            <w:r w:rsidR="00F70AD5" w:rsidRPr="00805C22">
              <w:rPr>
                <w:webHidden/>
              </w:rPr>
            </w:r>
            <w:r w:rsidR="00F70AD5" w:rsidRPr="00805C22">
              <w:rPr>
                <w:webHidden/>
              </w:rPr>
              <w:fldChar w:fldCharType="separate"/>
            </w:r>
            <w:r>
              <w:rPr>
                <w:webHidden/>
              </w:rPr>
              <w:t>58</w:t>
            </w:r>
            <w:r w:rsidR="00F70AD5" w:rsidRPr="00805C22">
              <w:rPr>
                <w:webHidden/>
              </w:rPr>
              <w:fldChar w:fldCharType="end"/>
            </w:r>
          </w:hyperlink>
        </w:p>
        <w:p w14:paraId="235E275A" w14:textId="3901B521" w:rsidR="00F70AD5" w:rsidRPr="00805C22" w:rsidRDefault="006E191C" w:rsidP="003C58C0">
          <w:pPr>
            <w:pStyle w:val="TOC2"/>
            <w:spacing w:line="360" w:lineRule="auto"/>
            <w:rPr>
              <w:rFonts w:eastAsiaTheme="minorEastAsia"/>
              <w:kern w:val="2"/>
              <w:lang w:val="en-US"/>
              <w14:ligatures w14:val="standardContextual"/>
            </w:rPr>
          </w:pPr>
          <w:hyperlink w:anchor="_Toc147242380" w:history="1">
            <w:r w:rsidR="00F70AD5" w:rsidRPr="00805C22">
              <w:rPr>
                <w:rStyle w:val="Hyperlink"/>
                <w:rFonts w:ascii="Open Sans" w:hAnsi="Open Sans" w:cs="Open Sans"/>
                <w:szCs w:val="24"/>
              </w:rPr>
              <w:t>1 PROJECT PHASES AND PROJECT TYPES</w:t>
            </w:r>
            <w:r w:rsidR="00F70AD5" w:rsidRPr="00805C22">
              <w:rPr>
                <w:webHidden/>
              </w:rPr>
              <w:tab/>
            </w:r>
            <w:r w:rsidR="00F70AD5" w:rsidRPr="00805C22">
              <w:rPr>
                <w:webHidden/>
              </w:rPr>
              <w:fldChar w:fldCharType="begin"/>
            </w:r>
            <w:r w:rsidR="00F70AD5" w:rsidRPr="00805C22">
              <w:rPr>
                <w:webHidden/>
              </w:rPr>
              <w:instrText xml:space="preserve"> PAGEREF _Toc147242380 \h </w:instrText>
            </w:r>
            <w:r w:rsidR="00F70AD5" w:rsidRPr="00805C22">
              <w:rPr>
                <w:webHidden/>
              </w:rPr>
            </w:r>
            <w:r w:rsidR="00F70AD5" w:rsidRPr="00805C22">
              <w:rPr>
                <w:webHidden/>
              </w:rPr>
              <w:fldChar w:fldCharType="separate"/>
            </w:r>
            <w:r>
              <w:rPr>
                <w:webHidden/>
              </w:rPr>
              <w:t>58</w:t>
            </w:r>
            <w:r w:rsidR="00F70AD5" w:rsidRPr="00805C22">
              <w:rPr>
                <w:webHidden/>
              </w:rPr>
              <w:fldChar w:fldCharType="end"/>
            </w:r>
          </w:hyperlink>
        </w:p>
        <w:p w14:paraId="6E18782A" w14:textId="20EEFE88" w:rsidR="00F70AD5" w:rsidRPr="00805C22" w:rsidRDefault="006E191C" w:rsidP="003C58C0">
          <w:pPr>
            <w:pStyle w:val="TOC3"/>
            <w:spacing w:line="360" w:lineRule="auto"/>
            <w:rPr>
              <w:rFonts w:eastAsiaTheme="minorEastAsia"/>
              <w:kern w:val="2"/>
              <w:lang w:val="en-US"/>
              <w14:ligatures w14:val="standardContextual"/>
            </w:rPr>
          </w:pPr>
          <w:hyperlink w:anchor="_Toc147242381" w:history="1">
            <w:r w:rsidR="00F70AD5" w:rsidRPr="00805C22">
              <w:rPr>
                <w:rStyle w:val="Hyperlink"/>
                <w:rFonts w:ascii="Open Sans" w:hAnsi="Open Sans" w:cs="Open Sans"/>
                <w:szCs w:val="24"/>
              </w:rPr>
              <w:t>1.1 Project phases</w:t>
            </w:r>
            <w:r w:rsidR="00F70AD5" w:rsidRPr="00805C22">
              <w:rPr>
                <w:webHidden/>
              </w:rPr>
              <w:tab/>
            </w:r>
            <w:r w:rsidR="00F70AD5" w:rsidRPr="00805C22">
              <w:rPr>
                <w:webHidden/>
              </w:rPr>
              <w:fldChar w:fldCharType="begin"/>
            </w:r>
            <w:r w:rsidR="00F70AD5" w:rsidRPr="00805C22">
              <w:rPr>
                <w:webHidden/>
              </w:rPr>
              <w:instrText xml:space="preserve"> PAGEREF _Toc147242381 \h </w:instrText>
            </w:r>
            <w:r w:rsidR="00F70AD5" w:rsidRPr="00805C22">
              <w:rPr>
                <w:webHidden/>
              </w:rPr>
            </w:r>
            <w:r w:rsidR="00F70AD5" w:rsidRPr="00805C22">
              <w:rPr>
                <w:webHidden/>
              </w:rPr>
              <w:fldChar w:fldCharType="separate"/>
            </w:r>
            <w:r>
              <w:rPr>
                <w:webHidden/>
              </w:rPr>
              <w:t>58</w:t>
            </w:r>
            <w:r w:rsidR="00F70AD5" w:rsidRPr="00805C22">
              <w:rPr>
                <w:webHidden/>
              </w:rPr>
              <w:fldChar w:fldCharType="end"/>
            </w:r>
          </w:hyperlink>
        </w:p>
        <w:p w14:paraId="3BC6E69C" w14:textId="30A96701" w:rsidR="00F70AD5" w:rsidRPr="00805C22" w:rsidRDefault="006E191C" w:rsidP="003C58C0">
          <w:pPr>
            <w:pStyle w:val="TOC3"/>
            <w:spacing w:line="360" w:lineRule="auto"/>
            <w:rPr>
              <w:rFonts w:eastAsiaTheme="minorEastAsia"/>
              <w:kern w:val="2"/>
              <w:lang w:val="en-US"/>
              <w14:ligatures w14:val="standardContextual"/>
            </w:rPr>
          </w:pPr>
          <w:hyperlink w:anchor="_Toc147242382" w:history="1">
            <w:r w:rsidR="00F70AD5" w:rsidRPr="00805C22">
              <w:rPr>
                <w:rStyle w:val="Hyperlink"/>
                <w:rFonts w:ascii="Open Sans" w:hAnsi="Open Sans" w:cs="Open Sans"/>
                <w:szCs w:val="24"/>
              </w:rPr>
              <w:t>1.2 Project types</w:t>
            </w:r>
            <w:r w:rsidR="00F70AD5" w:rsidRPr="00805C22">
              <w:rPr>
                <w:webHidden/>
              </w:rPr>
              <w:tab/>
            </w:r>
            <w:r w:rsidR="00F70AD5" w:rsidRPr="00805C22">
              <w:rPr>
                <w:webHidden/>
              </w:rPr>
              <w:fldChar w:fldCharType="begin"/>
            </w:r>
            <w:r w:rsidR="00F70AD5" w:rsidRPr="00805C22">
              <w:rPr>
                <w:webHidden/>
              </w:rPr>
              <w:instrText xml:space="preserve"> PAGEREF _Toc147242382 \h </w:instrText>
            </w:r>
            <w:r w:rsidR="00F70AD5" w:rsidRPr="00805C22">
              <w:rPr>
                <w:webHidden/>
              </w:rPr>
            </w:r>
            <w:r w:rsidR="00F70AD5" w:rsidRPr="00805C22">
              <w:rPr>
                <w:webHidden/>
              </w:rPr>
              <w:fldChar w:fldCharType="separate"/>
            </w:r>
            <w:r>
              <w:rPr>
                <w:webHidden/>
              </w:rPr>
              <w:t>60</w:t>
            </w:r>
            <w:r w:rsidR="00F70AD5" w:rsidRPr="00805C22">
              <w:rPr>
                <w:webHidden/>
              </w:rPr>
              <w:fldChar w:fldCharType="end"/>
            </w:r>
          </w:hyperlink>
        </w:p>
        <w:p w14:paraId="5889B22E" w14:textId="7A6D6BFC" w:rsidR="00F70AD5" w:rsidRPr="00805C22" w:rsidRDefault="006E191C" w:rsidP="003C58C0">
          <w:pPr>
            <w:pStyle w:val="TOC3"/>
            <w:spacing w:line="360" w:lineRule="auto"/>
            <w:rPr>
              <w:rFonts w:eastAsiaTheme="minorEastAsia"/>
              <w:kern w:val="2"/>
              <w:lang w:val="en-US"/>
              <w14:ligatures w14:val="standardContextual"/>
            </w:rPr>
          </w:pPr>
          <w:hyperlink w:anchor="_Toc147242383" w:history="1">
            <w:r w:rsidR="00F70AD5" w:rsidRPr="00805C22">
              <w:rPr>
                <w:rStyle w:val="Hyperlink"/>
                <w:rFonts w:ascii="Open Sans" w:hAnsi="Open Sans" w:cs="Open Sans"/>
                <w:szCs w:val="24"/>
              </w:rPr>
              <w:t>1.3 Operations of strategic importance</w:t>
            </w:r>
            <w:r w:rsidR="00F70AD5" w:rsidRPr="00805C22">
              <w:rPr>
                <w:webHidden/>
              </w:rPr>
              <w:tab/>
            </w:r>
            <w:r w:rsidR="00F70AD5" w:rsidRPr="00805C22">
              <w:rPr>
                <w:webHidden/>
              </w:rPr>
              <w:fldChar w:fldCharType="begin"/>
            </w:r>
            <w:r w:rsidR="00F70AD5" w:rsidRPr="00805C22">
              <w:rPr>
                <w:webHidden/>
              </w:rPr>
              <w:instrText xml:space="preserve"> PAGEREF _Toc147242383 \h </w:instrText>
            </w:r>
            <w:r w:rsidR="00F70AD5" w:rsidRPr="00805C22">
              <w:rPr>
                <w:webHidden/>
              </w:rPr>
            </w:r>
            <w:r w:rsidR="00F70AD5" w:rsidRPr="00805C22">
              <w:rPr>
                <w:webHidden/>
              </w:rPr>
              <w:fldChar w:fldCharType="separate"/>
            </w:r>
            <w:r>
              <w:rPr>
                <w:webHidden/>
              </w:rPr>
              <w:t>64</w:t>
            </w:r>
            <w:r w:rsidR="00F70AD5" w:rsidRPr="00805C22">
              <w:rPr>
                <w:webHidden/>
              </w:rPr>
              <w:fldChar w:fldCharType="end"/>
            </w:r>
          </w:hyperlink>
        </w:p>
        <w:p w14:paraId="358581CD" w14:textId="405809CF" w:rsidR="00F70AD5" w:rsidRPr="00805C22" w:rsidRDefault="006E191C" w:rsidP="003C58C0">
          <w:pPr>
            <w:pStyle w:val="TOC2"/>
            <w:spacing w:line="360" w:lineRule="auto"/>
            <w:rPr>
              <w:rFonts w:eastAsiaTheme="minorEastAsia"/>
              <w:kern w:val="2"/>
              <w:lang w:val="en-US"/>
              <w14:ligatures w14:val="standardContextual"/>
            </w:rPr>
          </w:pPr>
          <w:hyperlink w:anchor="_Toc147242384" w:history="1">
            <w:r w:rsidR="00F70AD5" w:rsidRPr="00805C22">
              <w:rPr>
                <w:rStyle w:val="Hyperlink"/>
                <w:rFonts w:ascii="Open Sans" w:hAnsi="Open Sans" w:cs="Open Sans"/>
                <w:szCs w:val="24"/>
              </w:rPr>
              <w:t>2 CONTRIBUTION TO THE OBJECTIVES OF THE SOUTH BALTIC PROGRAMME</w:t>
            </w:r>
            <w:r w:rsidR="00F70AD5" w:rsidRPr="00805C22">
              <w:rPr>
                <w:webHidden/>
              </w:rPr>
              <w:tab/>
            </w:r>
            <w:r w:rsidR="00F70AD5" w:rsidRPr="00805C22">
              <w:rPr>
                <w:webHidden/>
              </w:rPr>
              <w:fldChar w:fldCharType="begin"/>
            </w:r>
            <w:r w:rsidR="00F70AD5" w:rsidRPr="00805C22">
              <w:rPr>
                <w:webHidden/>
              </w:rPr>
              <w:instrText xml:space="preserve"> PAGEREF _Toc147242384 \h </w:instrText>
            </w:r>
            <w:r w:rsidR="00F70AD5" w:rsidRPr="00805C22">
              <w:rPr>
                <w:webHidden/>
              </w:rPr>
            </w:r>
            <w:r w:rsidR="00F70AD5" w:rsidRPr="00805C22">
              <w:rPr>
                <w:webHidden/>
              </w:rPr>
              <w:fldChar w:fldCharType="separate"/>
            </w:r>
            <w:r>
              <w:rPr>
                <w:webHidden/>
              </w:rPr>
              <w:t>66</w:t>
            </w:r>
            <w:r w:rsidR="00F70AD5" w:rsidRPr="00805C22">
              <w:rPr>
                <w:webHidden/>
              </w:rPr>
              <w:fldChar w:fldCharType="end"/>
            </w:r>
          </w:hyperlink>
        </w:p>
        <w:p w14:paraId="5DD16F4F" w14:textId="39F5ED1F" w:rsidR="00F70AD5" w:rsidRPr="00805C22" w:rsidRDefault="006E191C" w:rsidP="003C58C0">
          <w:pPr>
            <w:pStyle w:val="TOC3"/>
            <w:spacing w:line="360" w:lineRule="auto"/>
            <w:rPr>
              <w:rFonts w:eastAsiaTheme="minorEastAsia"/>
              <w:kern w:val="2"/>
              <w:lang w:val="en-US"/>
              <w14:ligatures w14:val="standardContextual"/>
            </w:rPr>
          </w:pPr>
          <w:hyperlink w:anchor="_Toc147242385" w:history="1">
            <w:r w:rsidR="00F70AD5" w:rsidRPr="00805C22">
              <w:rPr>
                <w:rStyle w:val="Hyperlink"/>
                <w:rFonts w:ascii="Open Sans" w:hAnsi="Open Sans" w:cs="Open Sans"/>
                <w:szCs w:val="24"/>
              </w:rPr>
              <w:t>2.1 Building blocks of the Programme and project intervention logic</w:t>
            </w:r>
            <w:r w:rsidR="00F70AD5" w:rsidRPr="00805C22">
              <w:rPr>
                <w:webHidden/>
              </w:rPr>
              <w:tab/>
            </w:r>
            <w:r w:rsidR="00F70AD5" w:rsidRPr="00805C22">
              <w:rPr>
                <w:webHidden/>
              </w:rPr>
              <w:fldChar w:fldCharType="begin"/>
            </w:r>
            <w:r w:rsidR="00F70AD5" w:rsidRPr="00805C22">
              <w:rPr>
                <w:webHidden/>
              </w:rPr>
              <w:instrText xml:space="preserve"> PAGEREF _Toc147242385 \h </w:instrText>
            </w:r>
            <w:r w:rsidR="00F70AD5" w:rsidRPr="00805C22">
              <w:rPr>
                <w:webHidden/>
              </w:rPr>
            </w:r>
            <w:r w:rsidR="00F70AD5" w:rsidRPr="00805C22">
              <w:rPr>
                <w:webHidden/>
              </w:rPr>
              <w:fldChar w:fldCharType="separate"/>
            </w:r>
            <w:r>
              <w:rPr>
                <w:webHidden/>
              </w:rPr>
              <w:t>66</w:t>
            </w:r>
            <w:r w:rsidR="00F70AD5" w:rsidRPr="00805C22">
              <w:rPr>
                <w:webHidden/>
              </w:rPr>
              <w:fldChar w:fldCharType="end"/>
            </w:r>
          </w:hyperlink>
        </w:p>
        <w:p w14:paraId="46A821BC" w14:textId="6DC355B6" w:rsidR="00F70AD5" w:rsidRPr="00805C22" w:rsidRDefault="006E191C" w:rsidP="003C58C0">
          <w:pPr>
            <w:pStyle w:val="TOC3"/>
            <w:spacing w:line="360" w:lineRule="auto"/>
            <w:rPr>
              <w:rFonts w:eastAsiaTheme="minorEastAsia"/>
              <w:kern w:val="2"/>
              <w:lang w:val="en-US"/>
              <w14:ligatures w14:val="standardContextual"/>
            </w:rPr>
          </w:pPr>
          <w:hyperlink w:anchor="_Toc147242386" w:history="1">
            <w:r w:rsidR="00F70AD5" w:rsidRPr="00805C22">
              <w:rPr>
                <w:rStyle w:val="Hyperlink"/>
                <w:rFonts w:ascii="Open Sans" w:hAnsi="Open Sans" w:cs="Open Sans"/>
                <w:szCs w:val="24"/>
              </w:rPr>
              <w:t>2.2 Linking Programme and project intervention logic</w:t>
            </w:r>
            <w:r w:rsidR="00F70AD5" w:rsidRPr="00805C22">
              <w:rPr>
                <w:webHidden/>
              </w:rPr>
              <w:tab/>
            </w:r>
            <w:r w:rsidR="00F70AD5" w:rsidRPr="00805C22">
              <w:rPr>
                <w:webHidden/>
              </w:rPr>
              <w:fldChar w:fldCharType="begin"/>
            </w:r>
            <w:r w:rsidR="00F70AD5" w:rsidRPr="00805C22">
              <w:rPr>
                <w:webHidden/>
              </w:rPr>
              <w:instrText xml:space="preserve"> PAGEREF _Toc147242386 \h </w:instrText>
            </w:r>
            <w:r w:rsidR="00F70AD5" w:rsidRPr="00805C22">
              <w:rPr>
                <w:webHidden/>
              </w:rPr>
            </w:r>
            <w:r w:rsidR="00F70AD5" w:rsidRPr="00805C22">
              <w:rPr>
                <w:webHidden/>
              </w:rPr>
              <w:fldChar w:fldCharType="separate"/>
            </w:r>
            <w:r>
              <w:rPr>
                <w:webHidden/>
              </w:rPr>
              <w:t>67</w:t>
            </w:r>
            <w:r w:rsidR="00F70AD5" w:rsidRPr="00805C22">
              <w:rPr>
                <w:webHidden/>
              </w:rPr>
              <w:fldChar w:fldCharType="end"/>
            </w:r>
          </w:hyperlink>
        </w:p>
        <w:p w14:paraId="3B2302B0" w14:textId="3F2C89EB" w:rsidR="00F70AD5" w:rsidRPr="00805C22" w:rsidRDefault="006E191C" w:rsidP="003C58C0">
          <w:pPr>
            <w:pStyle w:val="TOC3"/>
            <w:spacing w:line="360" w:lineRule="auto"/>
            <w:rPr>
              <w:rFonts w:eastAsiaTheme="minorEastAsia"/>
              <w:kern w:val="2"/>
              <w:lang w:val="en-US"/>
              <w14:ligatures w14:val="standardContextual"/>
            </w:rPr>
          </w:pPr>
          <w:hyperlink w:anchor="_Toc147242387" w:history="1">
            <w:r w:rsidR="00F70AD5" w:rsidRPr="00805C22">
              <w:rPr>
                <w:rStyle w:val="Hyperlink"/>
                <w:rFonts w:ascii="Open Sans" w:hAnsi="Open Sans" w:cs="Open Sans"/>
                <w:szCs w:val="24"/>
              </w:rPr>
              <w:t>2.3 Indicators</w:t>
            </w:r>
            <w:r w:rsidR="00F70AD5" w:rsidRPr="00805C22">
              <w:rPr>
                <w:webHidden/>
              </w:rPr>
              <w:tab/>
            </w:r>
            <w:r w:rsidR="00F70AD5" w:rsidRPr="00805C22">
              <w:rPr>
                <w:webHidden/>
              </w:rPr>
              <w:fldChar w:fldCharType="begin"/>
            </w:r>
            <w:r w:rsidR="00F70AD5" w:rsidRPr="00805C22">
              <w:rPr>
                <w:webHidden/>
              </w:rPr>
              <w:instrText xml:space="preserve"> PAGEREF _Toc147242387 \h </w:instrText>
            </w:r>
            <w:r w:rsidR="00F70AD5" w:rsidRPr="00805C22">
              <w:rPr>
                <w:webHidden/>
              </w:rPr>
            </w:r>
            <w:r w:rsidR="00F70AD5" w:rsidRPr="00805C22">
              <w:rPr>
                <w:webHidden/>
              </w:rPr>
              <w:fldChar w:fldCharType="separate"/>
            </w:r>
            <w:r>
              <w:rPr>
                <w:webHidden/>
              </w:rPr>
              <w:t>68</w:t>
            </w:r>
            <w:r w:rsidR="00F70AD5" w:rsidRPr="00805C22">
              <w:rPr>
                <w:webHidden/>
              </w:rPr>
              <w:fldChar w:fldCharType="end"/>
            </w:r>
          </w:hyperlink>
        </w:p>
        <w:p w14:paraId="492AE82A" w14:textId="4E563C7F" w:rsidR="00F70AD5" w:rsidRPr="00805C22" w:rsidRDefault="006E191C" w:rsidP="003C58C0">
          <w:pPr>
            <w:pStyle w:val="TOC2"/>
            <w:spacing w:line="360" w:lineRule="auto"/>
            <w:rPr>
              <w:rFonts w:eastAsiaTheme="minorEastAsia"/>
              <w:kern w:val="2"/>
              <w:lang w:val="en-US"/>
              <w14:ligatures w14:val="standardContextual"/>
            </w:rPr>
          </w:pPr>
          <w:hyperlink w:anchor="_Toc147242388" w:history="1">
            <w:r w:rsidR="00F70AD5" w:rsidRPr="00805C22">
              <w:rPr>
                <w:rStyle w:val="Hyperlink"/>
                <w:rFonts w:ascii="Open Sans" w:hAnsi="Open Sans" w:cs="Open Sans"/>
                <w:szCs w:val="24"/>
              </w:rPr>
              <w:t>3 PARTNERSHIP PRINCIPLES IN SOUTH BALTIC PROJECTS</w:t>
            </w:r>
            <w:r w:rsidR="00F70AD5" w:rsidRPr="00805C22">
              <w:rPr>
                <w:webHidden/>
              </w:rPr>
              <w:tab/>
            </w:r>
            <w:r w:rsidR="00F70AD5" w:rsidRPr="00805C22">
              <w:rPr>
                <w:webHidden/>
              </w:rPr>
              <w:fldChar w:fldCharType="begin"/>
            </w:r>
            <w:r w:rsidR="00F70AD5" w:rsidRPr="00805C22">
              <w:rPr>
                <w:webHidden/>
              </w:rPr>
              <w:instrText xml:space="preserve"> PAGEREF _Toc147242388 \h </w:instrText>
            </w:r>
            <w:r w:rsidR="00F70AD5" w:rsidRPr="00805C22">
              <w:rPr>
                <w:webHidden/>
              </w:rPr>
            </w:r>
            <w:r w:rsidR="00F70AD5" w:rsidRPr="00805C22">
              <w:rPr>
                <w:webHidden/>
              </w:rPr>
              <w:fldChar w:fldCharType="separate"/>
            </w:r>
            <w:r>
              <w:rPr>
                <w:webHidden/>
              </w:rPr>
              <w:t>70</w:t>
            </w:r>
            <w:r w:rsidR="00F70AD5" w:rsidRPr="00805C22">
              <w:rPr>
                <w:webHidden/>
              </w:rPr>
              <w:fldChar w:fldCharType="end"/>
            </w:r>
          </w:hyperlink>
        </w:p>
        <w:p w14:paraId="0E195F04" w14:textId="24A93967" w:rsidR="00F70AD5" w:rsidRPr="00805C22" w:rsidRDefault="006E191C" w:rsidP="003C58C0">
          <w:pPr>
            <w:pStyle w:val="TOC3"/>
            <w:spacing w:line="360" w:lineRule="auto"/>
            <w:rPr>
              <w:rFonts w:eastAsiaTheme="minorEastAsia"/>
              <w:kern w:val="2"/>
              <w:lang w:val="en-US"/>
              <w14:ligatures w14:val="standardContextual"/>
            </w:rPr>
          </w:pPr>
          <w:hyperlink w:anchor="_Toc147242389" w:history="1">
            <w:r w:rsidR="00F70AD5" w:rsidRPr="00805C22">
              <w:rPr>
                <w:rStyle w:val="Hyperlink"/>
                <w:rFonts w:ascii="Open Sans" w:hAnsi="Open Sans" w:cs="Open Sans"/>
                <w:szCs w:val="24"/>
              </w:rPr>
              <w:t>3.1 Project partnership</w:t>
            </w:r>
            <w:r w:rsidR="00F70AD5" w:rsidRPr="00805C22">
              <w:rPr>
                <w:webHidden/>
              </w:rPr>
              <w:tab/>
            </w:r>
            <w:r w:rsidR="00F70AD5" w:rsidRPr="00805C22">
              <w:rPr>
                <w:webHidden/>
              </w:rPr>
              <w:fldChar w:fldCharType="begin"/>
            </w:r>
            <w:r w:rsidR="00F70AD5" w:rsidRPr="00805C22">
              <w:rPr>
                <w:webHidden/>
              </w:rPr>
              <w:instrText xml:space="preserve"> PAGEREF _Toc147242389 \h </w:instrText>
            </w:r>
            <w:r w:rsidR="00F70AD5" w:rsidRPr="00805C22">
              <w:rPr>
                <w:webHidden/>
              </w:rPr>
            </w:r>
            <w:r w:rsidR="00F70AD5" w:rsidRPr="00805C22">
              <w:rPr>
                <w:webHidden/>
              </w:rPr>
              <w:fldChar w:fldCharType="separate"/>
            </w:r>
            <w:r>
              <w:rPr>
                <w:webHidden/>
              </w:rPr>
              <w:t>70</w:t>
            </w:r>
            <w:r w:rsidR="00F70AD5" w:rsidRPr="00805C22">
              <w:rPr>
                <w:webHidden/>
              </w:rPr>
              <w:fldChar w:fldCharType="end"/>
            </w:r>
          </w:hyperlink>
        </w:p>
        <w:p w14:paraId="7E5EC210" w14:textId="645A1057" w:rsidR="00F70AD5" w:rsidRPr="00805C22" w:rsidRDefault="006E191C" w:rsidP="003C58C0">
          <w:pPr>
            <w:pStyle w:val="TOC3"/>
            <w:spacing w:line="360" w:lineRule="auto"/>
            <w:rPr>
              <w:rFonts w:eastAsiaTheme="minorEastAsia"/>
              <w:kern w:val="2"/>
              <w:lang w:val="en-US"/>
              <w14:ligatures w14:val="standardContextual"/>
            </w:rPr>
          </w:pPr>
          <w:hyperlink w:anchor="_Toc147242390" w:history="1">
            <w:r w:rsidR="00F70AD5" w:rsidRPr="00805C22">
              <w:rPr>
                <w:rStyle w:val="Hyperlink"/>
                <w:rFonts w:ascii="Open Sans" w:hAnsi="Open Sans" w:cs="Open Sans"/>
                <w:szCs w:val="24"/>
              </w:rPr>
              <w:t>3.2 Number of partners in the partnership</w:t>
            </w:r>
            <w:r w:rsidR="00F70AD5" w:rsidRPr="00805C22">
              <w:rPr>
                <w:webHidden/>
              </w:rPr>
              <w:tab/>
            </w:r>
            <w:r w:rsidR="00F70AD5" w:rsidRPr="00805C22">
              <w:rPr>
                <w:webHidden/>
              </w:rPr>
              <w:fldChar w:fldCharType="begin"/>
            </w:r>
            <w:r w:rsidR="00F70AD5" w:rsidRPr="00805C22">
              <w:rPr>
                <w:webHidden/>
              </w:rPr>
              <w:instrText xml:space="preserve"> PAGEREF _Toc147242390 \h </w:instrText>
            </w:r>
            <w:r w:rsidR="00F70AD5" w:rsidRPr="00805C22">
              <w:rPr>
                <w:webHidden/>
              </w:rPr>
            </w:r>
            <w:r w:rsidR="00F70AD5" w:rsidRPr="00805C22">
              <w:rPr>
                <w:webHidden/>
              </w:rPr>
              <w:fldChar w:fldCharType="separate"/>
            </w:r>
            <w:r>
              <w:rPr>
                <w:webHidden/>
              </w:rPr>
              <w:t>71</w:t>
            </w:r>
            <w:r w:rsidR="00F70AD5" w:rsidRPr="00805C22">
              <w:rPr>
                <w:webHidden/>
              </w:rPr>
              <w:fldChar w:fldCharType="end"/>
            </w:r>
          </w:hyperlink>
        </w:p>
        <w:p w14:paraId="1447E710" w14:textId="04C0A273" w:rsidR="00F70AD5" w:rsidRPr="00805C22" w:rsidRDefault="006E191C" w:rsidP="003C58C0">
          <w:pPr>
            <w:pStyle w:val="TOC3"/>
            <w:spacing w:line="360" w:lineRule="auto"/>
            <w:rPr>
              <w:rFonts w:eastAsiaTheme="minorEastAsia"/>
              <w:kern w:val="2"/>
              <w:lang w:val="en-US"/>
              <w14:ligatures w14:val="standardContextual"/>
            </w:rPr>
          </w:pPr>
          <w:hyperlink w:anchor="_Toc147242391" w:history="1">
            <w:r w:rsidR="00F70AD5" w:rsidRPr="00805C22">
              <w:rPr>
                <w:rStyle w:val="Hyperlink"/>
                <w:rFonts w:ascii="Open Sans" w:hAnsi="Open Sans" w:cs="Open Sans"/>
                <w:szCs w:val="24"/>
              </w:rPr>
              <w:t>3.3 Lead partner</w:t>
            </w:r>
            <w:r w:rsidR="00F70AD5" w:rsidRPr="00805C22">
              <w:rPr>
                <w:webHidden/>
              </w:rPr>
              <w:tab/>
            </w:r>
            <w:r w:rsidR="00F70AD5" w:rsidRPr="00805C22">
              <w:rPr>
                <w:webHidden/>
              </w:rPr>
              <w:fldChar w:fldCharType="begin"/>
            </w:r>
            <w:r w:rsidR="00F70AD5" w:rsidRPr="00805C22">
              <w:rPr>
                <w:webHidden/>
              </w:rPr>
              <w:instrText xml:space="preserve"> PAGEREF _Toc147242391 \h </w:instrText>
            </w:r>
            <w:r w:rsidR="00F70AD5" w:rsidRPr="00805C22">
              <w:rPr>
                <w:webHidden/>
              </w:rPr>
            </w:r>
            <w:r w:rsidR="00F70AD5" w:rsidRPr="00805C22">
              <w:rPr>
                <w:webHidden/>
              </w:rPr>
              <w:fldChar w:fldCharType="separate"/>
            </w:r>
            <w:r>
              <w:rPr>
                <w:webHidden/>
              </w:rPr>
              <w:t>72</w:t>
            </w:r>
            <w:r w:rsidR="00F70AD5" w:rsidRPr="00805C22">
              <w:rPr>
                <w:webHidden/>
              </w:rPr>
              <w:fldChar w:fldCharType="end"/>
            </w:r>
          </w:hyperlink>
        </w:p>
        <w:p w14:paraId="2577FF0C" w14:textId="3920FF14" w:rsidR="00F70AD5" w:rsidRPr="00805C22" w:rsidRDefault="006E191C" w:rsidP="003C58C0">
          <w:pPr>
            <w:pStyle w:val="TOC3"/>
            <w:spacing w:line="360" w:lineRule="auto"/>
            <w:rPr>
              <w:rFonts w:eastAsiaTheme="minorEastAsia"/>
              <w:kern w:val="2"/>
              <w:lang w:val="en-US"/>
              <w14:ligatures w14:val="standardContextual"/>
            </w:rPr>
          </w:pPr>
          <w:hyperlink w:anchor="_Toc147242392" w:history="1">
            <w:r w:rsidR="00F70AD5" w:rsidRPr="00805C22">
              <w:rPr>
                <w:rStyle w:val="Hyperlink"/>
                <w:rFonts w:ascii="Open Sans" w:hAnsi="Open Sans" w:cs="Open Sans"/>
                <w:szCs w:val="24"/>
              </w:rPr>
              <w:t>3.4 Project partners</w:t>
            </w:r>
            <w:r w:rsidR="00F70AD5" w:rsidRPr="00805C22">
              <w:rPr>
                <w:webHidden/>
              </w:rPr>
              <w:tab/>
            </w:r>
            <w:r w:rsidR="00F70AD5" w:rsidRPr="00805C22">
              <w:rPr>
                <w:webHidden/>
              </w:rPr>
              <w:fldChar w:fldCharType="begin"/>
            </w:r>
            <w:r w:rsidR="00F70AD5" w:rsidRPr="00805C22">
              <w:rPr>
                <w:webHidden/>
              </w:rPr>
              <w:instrText xml:space="preserve"> PAGEREF _Toc147242392 \h </w:instrText>
            </w:r>
            <w:r w:rsidR="00F70AD5" w:rsidRPr="00805C22">
              <w:rPr>
                <w:webHidden/>
              </w:rPr>
            </w:r>
            <w:r w:rsidR="00F70AD5" w:rsidRPr="00805C22">
              <w:rPr>
                <w:webHidden/>
              </w:rPr>
              <w:fldChar w:fldCharType="separate"/>
            </w:r>
            <w:r>
              <w:rPr>
                <w:webHidden/>
              </w:rPr>
              <w:t>73</w:t>
            </w:r>
            <w:r w:rsidR="00F70AD5" w:rsidRPr="00805C22">
              <w:rPr>
                <w:webHidden/>
              </w:rPr>
              <w:fldChar w:fldCharType="end"/>
            </w:r>
          </w:hyperlink>
        </w:p>
        <w:p w14:paraId="0780259C" w14:textId="3E9C12DD" w:rsidR="00F70AD5" w:rsidRPr="00805C22" w:rsidRDefault="006E191C" w:rsidP="003C58C0">
          <w:pPr>
            <w:pStyle w:val="TOC3"/>
            <w:spacing w:line="360" w:lineRule="auto"/>
            <w:rPr>
              <w:rFonts w:eastAsiaTheme="minorEastAsia"/>
              <w:kern w:val="2"/>
              <w:lang w:val="en-US"/>
              <w14:ligatures w14:val="standardContextual"/>
            </w:rPr>
          </w:pPr>
          <w:hyperlink w:anchor="_Toc147242393" w:history="1">
            <w:r w:rsidR="00F70AD5" w:rsidRPr="00805C22">
              <w:rPr>
                <w:rStyle w:val="Hyperlink"/>
                <w:rFonts w:ascii="Open Sans" w:hAnsi="Open Sans" w:cs="Open Sans"/>
                <w:szCs w:val="24"/>
              </w:rPr>
              <w:t>3.5 Involvement of SMEs</w:t>
            </w:r>
            <w:r w:rsidR="00F70AD5" w:rsidRPr="00805C22">
              <w:rPr>
                <w:webHidden/>
              </w:rPr>
              <w:tab/>
            </w:r>
            <w:r w:rsidR="00F70AD5" w:rsidRPr="00805C22">
              <w:rPr>
                <w:webHidden/>
              </w:rPr>
              <w:fldChar w:fldCharType="begin"/>
            </w:r>
            <w:r w:rsidR="00F70AD5" w:rsidRPr="00805C22">
              <w:rPr>
                <w:webHidden/>
              </w:rPr>
              <w:instrText xml:space="preserve"> PAGEREF _Toc147242393 \h </w:instrText>
            </w:r>
            <w:r w:rsidR="00F70AD5" w:rsidRPr="00805C22">
              <w:rPr>
                <w:webHidden/>
              </w:rPr>
            </w:r>
            <w:r w:rsidR="00F70AD5" w:rsidRPr="00805C22">
              <w:rPr>
                <w:webHidden/>
              </w:rPr>
              <w:fldChar w:fldCharType="separate"/>
            </w:r>
            <w:r>
              <w:rPr>
                <w:webHidden/>
              </w:rPr>
              <w:t>75</w:t>
            </w:r>
            <w:r w:rsidR="00F70AD5" w:rsidRPr="00805C22">
              <w:rPr>
                <w:webHidden/>
              </w:rPr>
              <w:fldChar w:fldCharType="end"/>
            </w:r>
          </w:hyperlink>
        </w:p>
        <w:p w14:paraId="5A2F98A1" w14:textId="1F7F7F3F" w:rsidR="00F70AD5" w:rsidRPr="00805C22" w:rsidRDefault="006E191C" w:rsidP="003C58C0">
          <w:pPr>
            <w:pStyle w:val="TOC3"/>
            <w:spacing w:line="360" w:lineRule="auto"/>
            <w:rPr>
              <w:rFonts w:eastAsiaTheme="minorEastAsia"/>
              <w:kern w:val="2"/>
              <w:lang w:val="en-US"/>
              <w14:ligatures w14:val="standardContextual"/>
            </w:rPr>
          </w:pPr>
          <w:hyperlink w:anchor="_Toc147242394" w:history="1">
            <w:r w:rsidR="00F70AD5" w:rsidRPr="00805C22">
              <w:rPr>
                <w:rStyle w:val="Hyperlink"/>
                <w:rFonts w:ascii="Open Sans" w:hAnsi="Open Sans" w:cs="Open Sans"/>
                <w:szCs w:val="24"/>
              </w:rPr>
              <w:t>3.6 Associated partners</w:t>
            </w:r>
            <w:r w:rsidR="00F70AD5" w:rsidRPr="00805C22">
              <w:rPr>
                <w:webHidden/>
              </w:rPr>
              <w:tab/>
            </w:r>
            <w:r w:rsidR="00F70AD5" w:rsidRPr="00805C22">
              <w:rPr>
                <w:webHidden/>
              </w:rPr>
              <w:fldChar w:fldCharType="begin"/>
            </w:r>
            <w:r w:rsidR="00F70AD5" w:rsidRPr="00805C22">
              <w:rPr>
                <w:webHidden/>
              </w:rPr>
              <w:instrText xml:space="preserve"> PAGEREF _Toc147242394 \h </w:instrText>
            </w:r>
            <w:r w:rsidR="00F70AD5" w:rsidRPr="00805C22">
              <w:rPr>
                <w:webHidden/>
              </w:rPr>
            </w:r>
            <w:r w:rsidR="00F70AD5" w:rsidRPr="00805C22">
              <w:rPr>
                <w:webHidden/>
              </w:rPr>
              <w:fldChar w:fldCharType="separate"/>
            </w:r>
            <w:r>
              <w:rPr>
                <w:webHidden/>
              </w:rPr>
              <w:t>76</w:t>
            </w:r>
            <w:r w:rsidR="00F70AD5" w:rsidRPr="00805C22">
              <w:rPr>
                <w:webHidden/>
              </w:rPr>
              <w:fldChar w:fldCharType="end"/>
            </w:r>
          </w:hyperlink>
        </w:p>
        <w:p w14:paraId="6EFF32D9" w14:textId="58670BF0" w:rsidR="00F70AD5" w:rsidRPr="00805C22" w:rsidRDefault="006E191C" w:rsidP="003C58C0">
          <w:pPr>
            <w:pStyle w:val="TOC3"/>
            <w:spacing w:line="360" w:lineRule="auto"/>
            <w:rPr>
              <w:rFonts w:eastAsiaTheme="minorEastAsia"/>
              <w:kern w:val="2"/>
              <w:lang w:val="en-US"/>
              <w14:ligatures w14:val="standardContextual"/>
            </w:rPr>
          </w:pPr>
          <w:hyperlink w:anchor="_Toc147242395" w:history="1">
            <w:r w:rsidR="00F70AD5" w:rsidRPr="00805C22">
              <w:rPr>
                <w:rStyle w:val="Hyperlink"/>
                <w:rFonts w:ascii="Open Sans" w:hAnsi="Open Sans" w:cs="Open Sans"/>
                <w:szCs w:val="24"/>
              </w:rPr>
              <w:t>3.7 Involvement of project partners outside the Programme Member States</w:t>
            </w:r>
            <w:r w:rsidR="00F70AD5" w:rsidRPr="00805C22">
              <w:rPr>
                <w:webHidden/>
              </w:rPr>
              <w:tab/>
            </w:r>
            <w:r w:rsidR="00F70AD5" w:rsidRPr="00805C22">
              <w:rPr>
                <w:webHidden/>
              </w:rPr>
              <w:fldChar w:fldCharType="begin"/>
            </w:r>
            <w:r w:rsidR="00F70AD5" w:rsidRPr="00805C22">
              <w:rPr>
                <w:webHidden/>
              </w:rPr>
              <w:instrText xml:space="preserve"> PAGEREF _Toc147242395 \h </w:instrText>
            </w:r>
            <w:r w:rsidR="00F70AD5" w:rsidRPr="00805C22">
              <w:rPr>
                <w:webHidden/>
              </w:rPr>
            </w:r>
            <w:r w:rsidR="00F70AD5" w:rsidRPr="00805C22">
              <w:rPr>
                <w:webHidden/>
              </w:rPr>
              <w:fldChar w:fldCharType="separate"/>
            </w:r>
            <w:r>
              <w:rPr>
                <w:webHidden/>
              </w:rPr>
              <w:t>77</w:t>
            </w:r>
            <w:r w:rsidR="00F70AD5" w:rsidRPr="00805C22">
              <w:rPr>
                <w:webHidden/>
              </w:rPr>
              <w:fldChar w:fldCharType="end"/>
            </w:r>
          </w:hyperlink>
        </w:p>
        <w:p w14:paraId="4F4EB148" w14:textId="6F1248F7" w:rsidR="00F70AD5" w:rsidRPr="00805C22" w:rsidRDefault="006E191C" w:rsidP="003C58C0">
          <w:pPr>
            <w:pStyle w:val="TOC3"/>
            <w:spacing w:line="360" w:lineRule="auto"/>
            <w:rPr>
              <w:rFonts w:eastAsiaTheme="minorEastAsia"/>
              <w:kern w:val="2"/>
              <w:lang w:val="en-US"/>
              <w14:ligatures w14:val="standardContextual"/>
            </w:rPr>
          </w:pPr>
          <w:hyperlink w:anchor="_Toc147242396" w:history="1">
            <w:r w:rsidR="00F70AD5" w:rsidRPr="00805C22">
              <w:rPr>
                <w:rStyle w:val="Hyperlink"/>
                <w:rFonts w:ascii="Open Sans" w:hAnsi="Open Sans" w:cs="Open Sans"/>
                <w:szCs w:val="24"/>
              </w:rPr>
              <w:t>3.8 Geographical location of the project activities</w:t>
            </w:r>
            <w:r w:rsidR="00F70AD5" w:rsidRPr="00805C22">
              <w:rPr>
                <w:webHidden/>
              </w:rPr>
              <w:tab/>
            </w:r>
            <w:r w:rsidR="00F70AD5" w:rsidRPr="00805C22">
              <w:rPr>
                <w:webHidden/>
              </w:rPr>
              <w:fldChar w:fldCharType="begin"/>
            </w:r>
            <w:r w:rsidR="00F70AD5" w:rsidRPr="00805C22">
              <w:rPr>
                <w:webHidden/>
              </w:rPr>
              <w:instrText xml:space="preserve"> PAGEREF _Toc147242396 \h </w:instrText>
            </w:r>
            <w:r w:rsidR="00F70AD5" w:rsidRPr="00805C22">
              <w:rPr>
                <w:webHidden/>
              </w:rPr>
            </w:r>
            <w:r w:rsidR="00F70AD5" w:rsidRPr="00805C22">
              <w:rPr>
                <w:webHidden/>
              </w:rPr>
              <w:fldChar w:fldCharType="separate"/>
            </w:r>
            <w:r>
              <w:rPr>
                <w:webHidden/>
              </w:rPr>
              <w:t>78</w:t>
            </w:r>
            <w:r w:rsidR="00F70AD5" w:rsidRPr="00805C22">
              <w:rPr>
                <w:webHidden/>
              </w:rPr>
              <w:fldChar w:fldCharType="end"/>
            </w:r>
          </w:hyperlink>
        </w:p>
        <w:p w14:paraId="18F3FA24" w14:textId="559AFE35" w:rsidR="00F70AD5" w:rsidRPr="00805C22" w:rsidRDefault="006E191C" w:rsidP="003C58C0">
          <w:pPr>
            <w:pStyle w:val="TOC2"/>
            <w:spacing w:line="360" w:lineRule="auto"/>
            <w:rPr>
              <w:rFonts w:eastAsiaTheme="minorEastAsia"/>
              <w:kern w:val="2"/>
              <w:lang w:val="en-US"/>
              <w14:ligatures w14:val="standardContextual"/>
            </w:rPr>
          </w:pPr>
          <w:hyperlink w:anchor="_Toc147242397" w:history="1">
            <w:r w:rsidR="00F70AD5" w:rsidRPr="00805C22">
              <w:rPr>
                <w:rStyle w:val="Hyperlink"/>
                <w:rFonts w:ascii="Open Sans" w:hAnsi="Open Sans" w:cs="Open Sans"/>
                <w:szCs w:val="24"/>
              </w:rPr>
              <w:t>4 COOPERATION IN THE SOUTH BALTIC: CROSS-BORDER APPROACH, INNOVATIVENESS AND ADDITIONAL CHARACTER OF PROJECTS</w:t>
            </w:r>
            <w:r w:rsidR="00F70AD5" w:rsidRPr="00805C22">
              <w:rPr>
                <w:webHidden/>
              </w:rPr>
              <w:tab/>
            </w:r>
            <w:r w:rsidR="00F70AD5" w:rsidRPr="00805C22">
              <w:rPr>
                <w:webHidden/>
              </w:rPr>
              <w:fldChar w:fldCharType="begin"/>
            </w:r>
            <w:r w:rsidR="00F70AD5" w:rsidRPr="00805C22">
              <w:rPr>
                <w:webHidden/>
              </w:rPr>
              <w:instrText xml:space="preserve"> PAGEREF _Toc147242397 \h </w:instrText>
            </w:r>
            <w:r w:rsidR="00F70AD5" w:rsidRPr="00805C22">
              <w:rPr>
                <w:webHidden/>
              </w:rPr>
            </w:r>
            <w:r w:rsidR="00F70AD5" w:rsidRPr="00805C22">
              <w:rPr>
                <w:webHidden/>
              </w:rPr>
              <w:fldChar w:fldCharType="separate"/>
            </w:r>
            <w:r>
              <w:rPr>
                <w:webHidden/>
              </w:rPr>
              <w:t>79</w:t>
            </w:r>
            <w:r w:rsidR="00F70AD5" w:rsidRPr="00805C22">
              <w:rPr>
                <w:webHidden/>
              </w:rPr>
              <w:fldChar w:fldCharType="end"/>
            </w:r>
          </w:hyperlink>
        </w:p>
        <w:p w14:paraId="62CFE887" w14:textId="30225E6F" w:rsidR="00F70AD5" w:rsidRPr="00805C22" w:rsidRDefault="006E191C" w:rsidP="003C58C0">
          <w:pPr>
            <w:pStyle w:val="TOC2"/>
            <w:spacing w:line="360" w:lineRule="auto"/>
            <w:rPr>
              <w:rFonts w:eastAsiaTheme="minorEastAsia"/>
              <w:kern w:val="2"/>
              <w:lang w:val="en-US"/>
              <w14:ligatures w14:val="standardContextual"/>
            </w:rPr>
          </w:pPr>
          <w:hyperlink w:anchor="_Toc147242398" w:history="1">
            <w:r w:rsidR="00F70AD5" w:rsidRPr="00805C22">
              <w:rPr>
                <w:rStyle w:val="Hyperlink"/>
                <w:rFonts w:ascii="Open Sans" w:hAnsi="Open Sans" w:cs="Open Sans"/>
                <w:szCs w:val="24"/>
              </w:rPr>
              <w:t>5 PROJECT MANAGEMENT AND COORDINATION</w:t>
            </w:r>
            <w:r w:rsidR="00F70AD5" w:rsidRPr="00805C22">
              <w:rPr>
                <w:webHidden/>
              </w:rPr>
              <w:tab/>
            </w:r>
            <w:r w:rsidR="00F70AD5" w:rsidRPr="00805C22">
              <w:rPr>
                <w:webHidden/>
              </w:rPr>
              <w:fldChar w:fldCharType="begin"/>
            </w:r>
            <w:r w:rsidR="00F70AD5" w:rsidRPr="00805C22">
              <w:rPr>
                <w:webHidden/>
              </w:rPr>
              <w:instrText xml:space="preserve"> PAGEREF _Toc147242398 \h </w:instrText>
            </w:r>
            <w:r w:rsidR="00F70AD5" w:rsidRPr="00805C22">
              <w:rPr>
                <w:webHidden/>
              </w:rPr>
            </w:r>
            <w:r w:rsidR="00F70AD5" w:rsidRPr="00805C22">
              <w:rPr>
                <w:webHidden/>
              </w:rPr>
              <w:fldChar w:fldCharType="separate"/>
            </w:r>
            <w:r>
              <w:rPr>
                <w:webHidden/>
              </w:rPr>
              <w:t>81</w:t>
            </w:r>
            <w:r w:rsidR="00F70AD5" w:rsidRPr="00805C22">
              <w:rPr>
                <w:webHidden/>
              </w:rPr>
              <w:fldChar w:fldCharType="end"/>
            </w:r>
          </w:hyperlink>
        </w:p>
        <w:p w14:paraId="5D187EC0" w14:textId="1D4BC835" w:rsidR="00F70AD5" w:rsidRPr="00805C22" w:rsidRDefault="006E191C" w:rsidP="003C58C0">
          <w:pPr>
            <w:pStyle w:val="TOC3"/>
            <w:spacing w:line="360" w:lineRule="auto"/>
            <w:rPr>
              <w:rFonts w:eastAsiaTheme="minorEastAsia"/>
              <w:kern w:val="2"/>
              <w:lang w:val="en-US"/>
              <w14:ligatures w14:val="standardContextual"/>
            </w:rPr>
          </w:pPr>
          <w:hyperlink w:anchor="_Toc147242399" w:history="1">
            <w:r w:rsidR="00F70AD5" w:rsidRPr="00805C22">
              <w:rPr>
                <w:rStyle w:val="Hyperlink"/>
                <w:rFonts w:ascii="Open Sans" w:hAnsi="Open Sans" w:cs="Open Sans"/>
                <w:szCs w:val="24"/>
              </w:rPr>
              <w:t>5.1 Role in the partnership</w:t>
            </w:r>
            <w:r w:rsidR="00F70AD5" w:rsidRPr="00805C22">
              <w:rPr>
                <w:webHidden/>
              </w:rPr>
              <w:tab/>
            </w:r>
            <w:r w:rsidR="00F70AD5" w:rsidRPr="00805C22">
              <w:rPr>
                <w:webHidden/>
              </w:rPr>
              <w:fldChar w:fldCharType="begin"/>
            </w:r>
            <w:r w:rsidR="00F70AD5" w:rsidRPr="00805C22">
              <w:rPr>
                <w:webHidden/>
              </w:rPr>
              <w:instrText xml:space="preserve"> PAGEREF _Toc147242399 \h </w:instrText>
            </w:r>
            <w:r w:rsidR="00F70AD5" w:rsidRPr="00805C22">
              <w:rPr>
                <w:webHidden/>
              </w:rPr>
            </w:r>
            <w:r w:rsidR="00F70AD5" w:rsidRPr="00805C22">
              <w:rPr>
                <w:webHidden/>
              </w:rPr>
              <w:fldChar w:fldCharType="separate"/>
            </w:r>
            <w:r>
              <w:rPr>
                <w:webHidden/>
              </w:rPr>
              <w:t>81</w:t>
            </w:r>
            <w:r w:rsidR="00F70AD5" w:rsidRPr="00805C22">
              <w:rPr>
                <w:webHidden/>
              </w:rPr>
              <w:fldChar w:fldCharType="end"/>
            </w:r>
          </w:hyperlink>
        </w:p>
        <w:p w14:paraId="0FC36152" w14:textId="2CACD92B" w:rsidR="00F70AD5" w:rsidRPr="00805C22" w:rsidRDefault="006E191C" w:rsidP="003C58C0">
          <w:pPr>
            <w:pStyle w:val="TOC3"/>
            <w:spacing w:line="360" w:lineRule="auto"/>
            <w:rPr>
              <w:rFonts w:eastAsiaTheme="minorEastAsia"/>
              <w:kern w:val="2"/>
              <w:lang w:val="en-US"/>
              <w14:ligatures w14:val="standardContextual"/>
            </w:rPr>
          </w:pPr>
          <w:hyperlink w:anchor="_Toc147242400" w:history="1">
            <w:r w:rsidR="00F70AD5" w:rsidRPr="00805C22">
              <w:rPr>
                <w:rStyle w:val="Hyperlink"/>
                <w:rFonts w:ascii="Open Sans" w:hAnsi="Open Sans" w:cs="Open Sans"/>
                <w:szCs w:val="24"/>
              </w:rPr>
              <w:t>5.2 Management structure</w:t>
            </w:r>
            <w:r w:rsidR="00F70AD5" w:rsidRPr="00805C22">
              <w:rPr>
                <w:webHidden/>
              </w:rPr>
              <w:tab/>
            </w:r>
            <w:r w:rsidR="00F70AD5" w:rsidRPr="00805C22">
              <w:rPr>
                <w:webHidden/>
              </w:rPr>
              <w:fldChar w:fldCharType="begin"/>
            </w:r>
            <w:r w:rsidR="00F70AD5" w:rsidRPr="00805C22">
              <w:rPr>
                <w:webHidden/>
              </w:rPr>
              <w:instrText xml:space="preserve"> PAGEREF _Toc147242400 \h </w:instrText>
            </w:r>
            <w:r w:rsidR="00F70AD5" w:rsidRPr="00805C22">
              <w:rPr>
                <w:webHidden/>
              </w:rPr>
            </w:r>
            <w:r w:rsidR="00F70AD5" w:rsidRPr="00805C22">
              <w:rPr>
                <w:webHidden/>
              </w:rPr>
              <w:fldChar w:fldCharType="separate"/>
            </w:r>
            <w:r>
              <w:rPr>
                <w:webHidden/>
              </w:rPr>
              <w:t>83</w:t>
            </w:r>
            <w:r w:rsidR="00F70AD5" w:rsidRPr="00805C22">
              <w:rPr>
                <w:webHidden/>
              </w:rPr>
              <w:fldChar w:fldCharType="end"/>
            </w:r>
          </w:hyperlink>
        </w:p>
        <w:p w14:paraId="55794AE6" w14:textId="62EF3A67" w:rsidR="00F70AD5" w:rsidRPr="00805C22" w:rsidRDefault="006E191C" w:rsidP="003C58C0">
          <w:pPr>
            <w:pStyle w:val="TOC3"/>
            <w:spacing w:line="360" w:lineRule="auto"/>
            <w:rPr>
              <w:rFonts w:eastAsiaTheme="minorEastAsia"/>
              <w:kern w:val="2"/>
              <w:lang w:val="en-US"/>
              <w14:ligatures w14:val="standardContextual"/>
            </w:rPr>
          </w:pPr>
          <w:hyperlink w:anchor="_Toc147242401" w:history="1">
            <w:r w:rsidR="00F70AD5" w:rsidRPr="00805C22">
              <w:rPr>
                <w:rStyle w:val="Hyperlink"/>
                <w:rFonts w:ascii="Open Sans" w:hAnsi="Open Sans" w:cs="Open Sans"/>
                <w:szCs w:val="24"/>
              </w:rPr>
              <w:t>5.3 Coordination and decision-making system</w:t>
            </w:r>
            <w:r w:rsidR="00F70AD5" w:rsidRPr="00805C22">
              <w:rPr>
                <w:webHidden/>
              </w:rPr>
              <w:tab/>
            </w:r>
            <w:r w:rsidR="00F70AD5" w:rsidRPr="00805C22">
              <w:rPr>
                <w:webHidden/>
              </w:rPr>
              <w:fldChar w:fldCharType="begin"/>
            </w:r>
            <w:r w:rsidR="00F70AD5" w:rsidRPr="00805C22">
              <w:rPr>
                <w:webHidden/>
              </w:rPr>
              <w:instrText xml:space="preserve"> PAGEREF _Toc147242401 \h </w:instrText>
            </w:r>
            <w:r w:rsidR="00F70AD5" w:rsidRPr="00805C22">
              <w:rPr>
                <w:webHidden/>
              </w:rPr>
            </w:r>
            <w:r w:rsidR="00F70AD5" w:rsidRPr="00805C22">
              <w:rPr>
                <w:webHidden/>
              </w:rPr>
              <w:fldChar w:fldCharType="separate"/>
            </w:r>
            <w:r>
              <w:rPr>
                <w:webHidden/>
              </w:rPr>
              <w:t>85</w:t>
            </w:r>
            <w:r w:rsidR="00F70AD5" w:rsidRPr="00805C22">
              <w:rPr>
                <w:webHidden/>
              </w:rPr>
              <w:fldChar w:fldCharType="end"/>
            </w:r>
          </w:hyperlink>
        </w:p>
        <w:p w14:paraId="293B37AB" w14:textId="3B972518" w:rsidR="00F70AD5" w:rsidRPr="00805C22" w:rsidRDefault="006E191C" w:rsidP="003C58C0">
          <w:pPr>
            <w:pStyle w:val="TOC2"/>
            <w:spacing w:line="360" w:lineRule="auto"/>
            <w:rPr>
              <w:rFonts w:eastAsiaTheme="minorEastAsia"/>
              <w:kern w:val="2"/>
              <w:lang w:val="en-US"/>
              <w14:ligatures w14:val="standardContextual"/>
            </w:rPr>
          </w:pPr>
          <w:hyperlink w:anchor="_Toc147242402" w:history="1">
            <w:r w:rsidR="00F70AD5" w:rsidRPr="00805C22">
              <w:rPr>
                <w:rStyle w:val="Hyperlink"/>
                <w:rFonts w:ascii="Open Sans" w:hAnsi="Open Sans" w:cs="Open Sans"/>
                <w:szCs w:val="24"/>
              </w:rPr>
              <w:t>6 PROJECT ACTIVITIES AND WORK PACKAGES</w:t>
            </w:r>
            <w:r w:rsidR="00F70AD5" w:rsidRPr="00805C22">
              <w:rPr>
                <w:webHidden/>
              </w:rPr>
              <w:tab/>
            </w:r>
            <w:r w:rsidR="00F70AD5" w:rsidRPr="00805C22">
              <w:rPr>
                <w:webHidden/>
              </w:rPr>
              <w:fldChar w:fldCharType="begin"/>
            </w:r>
            <w:r w:rsidR="00F70AD5" w:rsidRPr="00805C22">
              <w:rPr>
                <w:webHidden/>
              </w:rPr>
              <w:instrText xml:space="preserve"> PAGEREF _Toc147242402 \h </w:instrText>
            </w:r>
            <w:r w:rsidR="00F70AD5" w:rsidRPr="00805C22">
              <w:rPr>
                <w:webHidden/>
              </w:rPr>
            </w:r>
            <w:r w:rsidR="00F70AD5" w:rsidRPr="00805C22">
              <w:rPr>
                <w:webHidden/>
              </w:rPr>
              <w:fldChar w:fldCharType="separate"/>
            </w:r>
            <w:r>
              <w:rPr>
                <w:webHidden/>
              </w:rPr>
              <w:t>85</w:t>
            </w:r>
            <w:r w:rsidR="00F70AD5" w:rsidRPr="00805C22">
              <w:rPr>
                <w:webHidden/>
              </w:rPr>
              <w:fldChar w:fldCharType="end"/>
            </w:r>
          </w:hyperlink>
        </w:p>
        <w:p w14:paraId="5FD353FD" w14:textId="5ABD055D" w:rsidR="00F70AD5" w:rsidRPr="00805C22" w:rsidRDefault="006E191C" w:rsidP="003C58C0">
          <w:pPr>
            <w:pStyle w:val="TOC1"/>
            <w:spacing w:line="360" w:lineRule="auto"/>
            <w:rPr>
              <w:rFonts w:eastAsiaTheme="minorEastAsia"/>
              <w:kern w:val="2"/>
              <w14:ligatures w14:val="standardContextual"/>
            </w:rPr>
          </w:pPr>
          <w:hyperlink w:anchor="_Toc147242403" w:history="1">
            <w:r w:rsidR="00F70AD5" w:rsidRPr="00805C22">
              <w:rPr>
                <w:rStyle w:val="Hyperlink"/>
                <w:szCs w:val="24"/>
              </w:rPr>
              <w:t>IV GENERAL RULES ON ELIGIBILITY OF COSTS AND BUDGET STRUCTURE</w:t>
            </w:r>
            <w:r w:rsidR="00F70AD5" w:rsidRPr="00805C22">
              <w:rPr>
                <w:webHidden/>
              </w:rPr>
              <w:tab/>
            </w:r>
            <w:r w:rsidR="00F70AD5" w:rsidRPr="00805C22">
              <w:rPr>
                <w:webHidden/>
              </w:rPr>
              <w:fldChar w:fldCharType="begin"/>
            </w:r>
            <w:r w:rsidR="00F70AD5" w:rsidRPr="00805C22">
              <w:rPr>
                <w:webHidden/>
              </w:rPr>
              <w:instrText xml:space="preserve"> PAGEREF _Toc147242403 \h </w:instrText>
            </w:r>
            <w:r w:rsidR="00F70AD5" w:rsidRPr="00805C22">
              <w:rPr>
                <w:webHidden/>
              </w:rPr>
            </w:r>
            <w:r w:rsidR="00F70AD5" w:rsidRPr="00805C22">
              <w:rPr>
                <w:webHidden/>
              </w:rPr>
              <w:fldChar w:fldCharType="separate"/>
            </w:r>
            <w:r>
              <w:rPr>
                <w:webHidden/>
              </w:rPr>
              <w:t>88</w:t>
            </w:r>
            <w:r w:rsidR="00F70AD5" w:rsidRPr="00805C22">
              <w:rPr>
                <w:webHidden/>
              </w:rPr>
              <w:fldChar w:fldCharType="end"/>
            </w:r>
          </w:hyperlink>
        </w:p>
        <w:p w14:paraId="494A0BF1" w14:textId="7528AE46" w:rsidR="00F70AD5" w:rsidRPr="00805C22" w:rsidRDefault="006E191C" w:rsidP="003C58C0">
          <w:pPr>
            <w:pStyle w:val="TOC2"/>
            <w:spacing w:line="360" w:lineRule="auto"/>
            <w:rPr>
              <w:rFonts w:eastAsiaTheme="minorEastAsia"/>
              <w:kern w:val="2"/>
              <w:lang w:val="en-US"/>
              <w14:ligatures w14:val="standardContextual"/>
            </w:rPr>
          </w:pPr>
          <w:hyperlink w:anchor="_Toc147242404" w:history="1">
            <w:r w:rsidR="00F70AD5" w:rsidRPr="00805C22">
              <w:rPr>
                <w:rStyle w:val="Hyperlink"/>
                <w:rFonts w:ascii="Open Sans" w:hAnsi="Open Sans" w:cs="Open Sans"/>
                <w:szCs w:val="24"/>
              </w:rPr>
              <w:t>1 GENERAL RULES ON COST ELIGIBILITY</w:t>
            </w:r>
            <w:r w:rsidR="00F70AD5" w:rsidRPr="00805C22">
              <w:rPr>
                <w:webHidden/>
              </w:rPr>
              <w:tab/>
            </w:r>
            <w:r w:rsidR="00F70AD5" w:rsidRPr="00805C22">
              <w:rPr>
                <w:webHidden/>
              </w:rPr>
              <w:fldChar w:fldCharType="begin"/>
            </w:r>
            <w:r w:rsidR="00F70AD5" w:rsidRPr="00805C22">
              <w:rPr>
                <w:webHidden/>
              </w:rPr>
              <w:instrText xml:space="preserve"> PAGEREF _Toc147242404 \h </w:instrText>
            </w:r>
            <w:r w:rsidR="00F70AD5" w:rsidRPr="00805C22">
              <w:rPr>
                <w:webHidden/>
              </w:rPr>
            </w:r>
            <w:r w:rsidR="00F70AD5" w:rsidRPr="00805C22">
              <w:rPr>
                <w:webHidden/>
              </w:rPr>
              <w:fldChar w:fldCharType="separate"/>
            </w:r>
            <w:r>
              <w:rPr>
                <w:webHidden/>
              </w:rPr>
              <w:t>88</w:t>
            </w:r>
            <w:r w:rsidR="00F70AD5" w:rsidRPr="00805C22">
              <w:rPr>
                <w:webHidden/>
              </w:rPr>
              <w:fldChar w:fldCharType="end"/>
            </w:r>
          </w:hyperlink>
        </w:p>
        <w:p w14:paraId="38B90022" w14:textId="4731D922" w:rsidR="00F70AD5" w:rsidRPr="00805C22" w:rsidRDefault="006E191C" w:rsidP="003C58C0">
          <w:pPr>
            <w:pStyle w:val="TOC2"/>
            <w:spacing w:line="360" w:lineRule="auto"/>
            <w:rPr>
              <w:rFonts w:eastAsiaTheme="minorEastAsia"/>
              <w:kern w:val="2"/>
              <w:lang w:val="en-US"/>
              <w14:ligatures w14:val="standardContextual"/>
            </w:rPr>
          </w:pPr>
          <w:hyperlink w:anchor="_Toc147242405" w:history="1">
            <w:r w:rsidR="00F70AD5" w:rsidRPr="00805C22">
              <w:rPr>
                <w:rStyle w:val="Hyperlink"/>
                <w:rFonts w:ascii="Open Sans" w:hAnsi="Open Sans" w:cs="Open Sans"/>
                <w:szCs w:val="24"/>
              </w:rPr>
              <w:t>2 PROJECT BUDGET STRUCTURE</w:t>
            </w:r>
            <w:r w:rsidR="00F70AD5" w:rsidRPr="00805C22">
              <w:rPr>
                <w:webHidden/>
              </w:rPr>
              <w:tab/>
            </w:r>
            <w:r w:rsidR="00F70AD5" w:rsidRPr="00805C22">
              <w:rPr>
                <w:webHidden/>
              </w:rPr>
              <w:fldChar w:fldCharType="begin"/>
            </w:r>
            <w:r w:rsidR="00F70AD5" w:rsidRPr="00805C22">
              <w:rPr>
                <w:webHidden/>
              </w:rPr>
              <w:instrText xml:space="preserve"> PAGEREF _Toc147242405 \h </w:instrText>
            </w:r>
            <w:r w:rsidR="00F70AD5" w:rsidRPr="00805C22">
              <w:rPr>
                <w:webHidden/>
              </w:rPr>
            </w:r>
            <w:r w:rsidR="00F70AD5" w:rsidRPr="00805C22">
              <w:rPr>
                <w:webHidden/>
              </w:rPr>
              <w:fldChar w:fldCharType="separate"/>
            </w:r>
            <w:r>
              <w:rPr>
                <w:webHidden/>
              </w:rPr>
              <w:t>94</w:t>
            </w:r>
            <w:r w:rsidR="00F70AD5" w:rsidRPr="00805C22">
              <w:rPr>
                <w:webHidden/>
              </w:rPr>
              <w:fldChar w:fldCharType="end"/>
            </w:r>
          </w:hyperlink>
        </w:p>
        <w:p w14:paraId="2C46DB30" w14:textId="33B561CB" w:rsidR="00F70AD5" w:rsidRPr="00805C22" w:rsidRDefault="006E191C" w:rsidP="003C58C0">
          <w:pPr>
            <w:pStyle w:val="TOC2"/>
            <w:spacing w:line="360" w:lineRule="auto"/>
            <w:rPr>
              <w:rFonts w:eastAsiaTheme="minorEastAsia"/>
              <w:kern w:val="2"/>
              <w:lang w:val="en-US"/>
              <w14:ligatures w14:val="standardContextual"/>
            </w:rPr>
          </w:pPr>
          <w:hyperlink w:anchor="_Toc147242406" w:history="1">
            <w:r w:rsidR="00F70AD5" w:rsidRPr="00805C22">
              <w:rPr>
                <w:rStyle w:val="Hyperlink"/>
                <w:rFonts w:ascii="Open Sans" w:hAnsi="Open Sans" w:cs="Open Sans"/>
                <w:szCs w:val="24"/>
              </w:rPr>
              <w:t>3 COST CATEGORIES</w:t>
            </w:r>
            <w:r w:rsidR="00F70AD5" w:rsidRPr="00805C22">
              <w:rPr>
                <w:webHidden/>
              </w:rPr>
              <w:tab/>
            </w:r>
            <w:r w:rsidR="00F70AD5" w:rsidRPr="00805C22">
              <w:rPr>
                <w:webHidden/>
              </w:rPr>
              <w:fldChar w:fldCharType="begin"/>
            </w:r>
            <w:r w:rsidR="00F70AD5" w:rsidRPr="00805C22">
              <w:rPr>
                <w:webHidden/>
              </w:rPr>
              <w:instrText xml:space="preserve"> PAGEREF _Toc147242406 \h </w:instrText>
            </w:r>
            <w:r w:rsidR="00F70AD5" w:rsidRPr="00805C22">
              <w:rPr>
                <w:webHidden/>
              </w:rPr>
            </w:r>
            <w:r w:rsidR="00F70AD5" w:rsidRPr="00805C22">
              <w:rPr>
                <w:webHidden/>
              </w:rPr>
              <w:fldChar w:fldCharType="separate"/>
            </w:r>
            <w:r>
              <w:rPr>
                <w:webHidden/>
              </w:rPr>
              <w:t>97</w:t>
            </w:r>
            <w:r w:rsidR="00F70AD5" w:rsidRPr="00805C22">
              <w:rPr>
                <w:webHidden/>
              </w:rPr>
              <w:fldChar w:fldCharType="end"/>
            </w:r>
          </w:hyperlink>
        </w:p>
        <w:p w14:paraId="35539B2D" w14:textId="476D22AC" w:rsidR="00F70AD5" w:rsidRPr="00805C22" w:rsidRDefault="006E191C" w:rsidP="003C58C0">
          <w:pPr>
            <w:pStyle w:val="TOC3"/>
            <w:spacing w:line="360" w:lineRule="auto"/>
            <w:rPr>
              <w:rFonts w:eastAsiaTheme="minorEastAsia"/>
              <w:kern w:val="2"/>
              <w:lang w:val="en-US"/>
              <w14:ligatures w14:val="standardContextual"/>
            </w:rPr>
          </w:pPr>
          <w:hyperlink w:anchor="_Toc147242407" w:history="1">
            <w:r w:rsidR="00F70AD5" w:rsidRPr="00805C22">
              <w:rPr>
                <w:rStyle w:val="Hyperlink"/>
                <w:rFonts w:ascii="Open Sans" w:hAnsi="Open Sans" w:cs="Open Sans"/>
                <w:szCs w:val="24"/>
              </w:rPr>
              <w:t>3.1 Project preparation costs</w:t>
            </w:r>
            <w:r w:rsidR="00F70AD5" w:rsidRPr="00805C22">
              <w:rPr>
                <w:webHidden/>
              </w:rPr>
              <w:tab/>
            </w:r>
            <w:r w:rsidR="00F70AD5" w:rsidRPr="00805C22">
              <w:rPr>
                <w:webHidden/>
              </w:rPr>
              <w:fldChar w:fldCharType="begin"/>
            </w:r>
            <w:r w:rsidR="00F70AD5" w:rsidRPr="00805C22">
              <w:rPr>
                <w:webHidden/>
              </w:rPr>
              <w:instrText xml:space="preserve"> PAGEREF _Toc147242407 \h </w:instrText>
            </w:r>
            <w:r w:rsidR="00F70AD5" w:rsidRPr="00805C22">
              <w:rPr>
                <w:webHidden/>
              </w:rPr>
            </w:r>
            <w:r w:rsidR="00F70AD5" w:rsidRPr="00805C22">
              <w:rPr>
                <w:webHidden/>
              </w:rPr>
              <w:fldChar w:fldCharType="separate"/>
            </w:r>
            <w:r>
              <w:rPr>
                <w:webHidden/>
              </w:rPr>
              <w:t>97</w:t>
            </w:r>
            <w:r w:rsidR="00F70AD5" w:rsidRPr="00805C22">
              <w:rPr>
                <w:webHidden/>
              </w:rPr>
              <w:fldChar w:fldCharType="end"/>
            </w:r>
          </w:hyperlink>
        </w:p>
        <w:p w14:paraId="6374E5E9" w14:textId="392C6E01" w:rsidR="00F70AD5" w:rsidRPr="00805C22" w:rsidRDefault="006E191C" w:rsidP="003C58C0">
          <w:pPr>
            <w:pStyle w:val="TOC3"/>
            <w:spacing w:line="360" w:lineRule="auto"/>
            <w:rPr>
              <w:rFonts w:eastAsiaTheme="minorEastAsia"/>
              <w:kern w:val="2"/>
              <w:lang w:val="en-US"/>
              <w14:ligatures w14:val="standardContextual"/>
            </w:rPr>
          </w:pPr>
          <w:hyperlink w:anchor="_Toc147242408" w:history="1">
            <w:r w:rsidR="00F70AD5" w:rsidRPr="00805C22">
              <w:rPr>
                <w:rStyle w:val="Hyperlink"/>
                <w:rFonts w:ascii="Open Sans" w:hAnsi="Open Sans" w:cs="Open Sans"/>
                <w:szCs w:val="24"/>
              </w:rPr>
              <w:t>3.2 Staff costs</w:t>
            </w:r>
            <w:r w:rsidR="00F70AD5" w:rsidRPr="00805C22">
              <w:rPr>
                <w:webHidden/>
              </w:rPr>
              <w:tab/>
            </w:r>
            <w:r w:rsidR="00F70AD5" w:rsidRPr="00805C22">
              <w:rPr>
                <w:webHidden/>
              </w:rPr>
              <w:fldChar w:fldCharType="begin"/>
            </w:r>
            <w:r w:rsidR="00F70AD5" w:rsidRPr="00805C22">
              <w:rPr>
                <w:webHidden/>
              </w:rPr>
              <w:instrText xml:space="preserve"> PAGEREF _Toc147242408 \h </w:instrText>
            </w:r>
            <w:r w:rsidR="00F70AD5" w:rsidRPr="00805C22">
              <w:rPr>
                <w:webHidden/>
              </w:rPr>
            </w:r>
            <w:r w:rsidR="00F70AD5" w:rsidRPr="00805C22">
              <w:rPr>
                <w:webHidden/>
              </w:rPr>
              <w:fldChar w:fldCharType="separate"/>
            </w:r>
            <w:r>
              <w:rPr>
                <w:webHidden/>
              </w:rPr>
              <w:t>98</w:t>
            </w:r>
            <w:r w:rsidR="00F70AD5" w:rsidRPr="00805C22">
              <w:rPr>
                <w:webHidden/>
              </w:rPr>
              <w:fldChar w:fldCharType="end"/>
            </w:r>
          </w:hyperlink>
        </w:p>
        <w:p w14:paraId="16A51050" w14:textId="20C91059" w:rsidR="00F70AD5" w:rsidRPr="00805C22" w:rsidRDefault="006E191C" w:rsidP="003C58C0">
          <w:pPr>
            <w:pStyle w:val="TOC3"/>
            <w:spacing w:line="360" w:lineRule="auto"/>
            <w:rPr>
              <w:rFonts w:eastAsiaTheme="minorEastAsia"/>
              <w:kern w:val="2"/>
              <w:lang w:val="en-US"/>
              <w14:ligatures w14:val="standardContextual"/>
            </w:rPr>
          </w:pPr>
          <w:hyperlink w:anchor="_Toc147242409" w:history="1">
            <w:r w:rsidR="00F70AD5" w:rsidRPr="00805C22">
              <w:rPr>
                <w:rStyle w:val="Hyperlink"/>
                <w:rFonts w:ascii="Open Sans" w:hAnsi="Open Sans" w:cs="Open Sans"/>
                <w:szCs w:val="24"/>
              </w:rPr>
              <w:t>3.3 Office and administration</w:t>
            </w:r>
            <w:r w:rsidR="00F70AD5" w:rsidRPr="00805C22">
              <w:rPr>
                <w:webHidden/>
              </w:rPr>
              <w:tab/>
            </w:r>
            <w:r w:rsidR="00F70AD5" w:rsidRPr="00805C22">
              <w:rPr>
                <w:webHidden/>
              </w:rPr>
              <w:fldChar w:fldCharType="begin"/>
            </w:r>
            <w:r w:rsidR="00F70AD5" w:rsidRPr="00805C22">
              <w:rPr>
                <w:webHidden/>
              </w:rPr>
              <w:instrText xml:space="preserve"> PAGEREF _Toc147242409 \h </w:instrText>
            </w:r>
            <w:r w:rsidR="00F70AD5" w:rsidRPr="00805C22">
              <w:rPr>
                <w:webHidden/>
              </w:rPr>
            </w:r>
            <w:r w:rsidR="00F70AD5" w:rsidRPr="00805C22">
              <w:rPr>
                <w:webHidden/>
              </w:rPr>
              <w:fldChar w:fldCharType="separate"/>
            </w:r>
            <w:r>
              <w:rPr>
                <w:webHidden/>
              </w:rPr>
              <w:t>102</w:t>
            </w:r>
            <w:r w:rsidR="00F70AD5" w:rsidRPr="00805C22">
              <w:rPr>
                <w:webHidden/>
              </w:rPr>
              <w:fldChar w:fldCharType="end"/>
            </w:r>
          </w:hyperlink>
        </w:p>
        <w:p w14:paraId="556F796B" w14:textId="728A4A81" w:rsidR="00F70AD5" w:rsidRPr="00805C22" w:rsidRDefault="006E191C" w:rsidP="003C58C0">
          <w:pPr>
            <w:pStyle w:val="TOC3"/>
            <w:spacing w:line="360" w:lineRule="auto"/>
            <w:rPr>
              <w:rFonts w:eastAsiaTheme="minorEastAsia"/>
              <w:kern w:val="2"/>
              <w:lang w:val="en-US"/>
              <w14:ligatures w14:val="standardContextual"/>
            </w:rPr>
          </w:pPr>
          <w:hyperlink w:anchor="_Toc147242410" w:history="1">
            <w:r w:rsidR="00F70AD5" w:rsidRPr="00805C22">
              <w:rPr>
                <w:rStyle w:val="Hyperlink"/>
                <w:rFonts w:ascii="Open Sans" w:hAnsi="Open Sans" w:cs="Open Sans"/>
                <w:szCs w:val="24"/>
              </w:rPr>
              <w:t>3.4 Travel and accommodation for project staff</w:t>
            </w:r>
            <w:r w:rsidR="00F70AD5" w:rsidRPr="00805C22">
              <w:rPr>
                <w:webHidden/>
              </w:rPr>
              <w:tab/>
            </w:r>
            <w:r w:rsidR="00F70AD5" w:rsidRPr="00805C22">
              <w:rPr>
                <w:webHidden/>
              </w:rPr>
              <w:fldChar w:fldCharType="begin"/>
            </w:r>
            <w:r w:rsidR="00F70AD5" w:rsidRPr="00805C22">
              <w:rPr>
                <w:webHidden/>
              </w:rPr>
              <w:instrText xml:space="preserve"> PAGEREF _Toc147242410 \h </w:instrText>
            </w:r>
            <w:r w:rsidR="00F70AD5" w:rsidRPr="00805C22">
              <w:rPr>
                <w:webHidden/>
              </w:rPr>
            </w:r>
            <w:r w:rsidR="00F70AD5" w:rsidRPr="00805C22">
              <w:rPr>
                <w:webHidden/>
              </w:rPr>
              <w:fldChar w:fldCharType="separate"/>
            </w:r>
            <w:r>
              <w:rPr>
                <w:webHidden/>
              </w:rPr>
              <w:t>104</w:t>
            </w:r>
            <w:r w:rsidR="00F70AD5" w:rsidRPr="00805C22">
              <w:rPr>
                <w:webHidden/>
              </w:rPr>
              <w:fldChar w:fldCharType="end"/>
            </w:r>
          </w:hyperlink>
        </w:p>
        <w:p w14:paraId="3091EC18" w14:textId="7B750907" w:rsidR="00F70AD5" w:rsidRPr="00805C22" w:rsidRDefault="006E191C" w:rsidP="003C58C0">
          <w:pPr>
            <w:pStyle w:val="TOC3"/>
            <w:spacing w:line="360" w:lineRule="auto"/>
            <w:rPr>
              <w:rFonts w:eastAsiaTheme="minorEastAsia"/>
              <w:kern w:val="2"/>
              <w:lang w:val="en-US"/>
              <w14:ligatures w14:val="standardContextual"/>
            </w:rPr>
          </w:pPr>
          <w:hyperlink w:anchor="_Toc147242411" w:history="1">
            <w:r w:rsidR="00F70AD5" w:rsidRPr="00805C22">
              <w:rPr>
                <w:rStyle w:val="Hyperlink"/>
                <w:rFonts w:ascii="Open Sans" w:hAnsi="Open Sans" w:cs="Open Sans"/>
                <w:szCs w:val="24"/>
              </w:rPr>
              <w:t>3.5 External expertise and services</w:t>
            </w:r>
            <w:r w:rsidR="00F70AD5" w:rsidRPr="00805C22">
              <w:rPr>
                <w:webHidden/>
              </w:rPr>
              <w:tab/>
            </w:r>
            <w:r w:rsidR="00F70AD5" w:rsidRPr="00805C22">
              <w:rPr>
                <w:webHidden/>
              </w:rPr>
              <w:fldChar w:fldCharType="begin"/>
            </w:r>
            <w:r w:rsidR="00F70AD5" w:rsidRPr="00805C22">
              <w:rPr>
                <w:webHidden/>
              </w:rPr>
              <w:instrText xml:space="preserve"> PAGEREF _Toc147242411 \h </w:instrText>
            </w:r>
            <w:r w:rsidR="00F70AD5" w:rsidRPr="00805C22">
              <w:rPr>
                <w:webHidden/>
              </w:rPr>
            </w:r>
            <w:r w:rsidR="00F70AD5" w:rsidRPr="00805C22">
              <w:rPr>
                <w:webHidden/>
              </w:rPr>
              <w:fldChar w:fldCharType="separate"/>
            </w:r>
            <w:r>
              <w:rPr>
                <w:webHidden/>
              </w:rPr>
              <w:t>105</w:t>
            </w:r>
            <w:r w:rsidR="00F70AD5" w:rsidRPr="00805C22">
              <w:rPr>
                <w:webHidden/>
              </w:rPr>
              <w:fldChar w:fldCharType="end"/>
            </w:r>
          </w:hyperlink>
        </w:p>
        <w:p w14:paraId="691B0F9C" w14:textId="1355758C" w:rsidR="00F70AD5" w:rsidRPr="00805C22" w:rsidRDefault="006E191C" w:rsidP="003C58C0">
          <w:pPr>
            <w:pStyle w:val="TOC3"/>
            <w:spacing w:line="360" w:lineRule="auto"/>
            <w:rPr>
              <w:rFonts w:eastAsiaTheme="minorEastAsia"/>
              <w:kern w:val="2"/>
              <w:lang w:val="en-US"/>
              <w14:ligatures w14:val="standardContextual"/>
            </w:rPr>
          </w:pPr>
          <w:hyperlink w:anchor="_Toc147242412" w:history="1">
            <w:r w:rsidR="00F70AD5" w:rsidRPr="00805C22">
              <w:rPr>
                <w:rStyle w:val="Hyperlink"/>
                <w:rFonts w:ascii="Open Sans" w:hAnsi="Open Sans" w:cs="Open Sans"/>
                <w:szCs w:val="24"/>
              </w:rPr>
              <w:t>3.6 Equipment</w:t>
            </w:r>
            <w:r w:rsidR="00F70AD5" w:rsidRPr="00805C22">
              <w:rPr>
                <w:webHidden/>
              </w:rPr>
              <w:tab/>
            </w:r>
            <w:r w:rsidR="00F70AD5" w:rsidRPr="00805C22">
              <w:rPr>
                <w:webHidden/>
              </w:rPr>
              <w:fldChar w:fldCharType="begin"/>
            </w:r>
            <w:r w:rsidR="00F70AD5" w:rsidRPr="00805C22">
              <w:rPr>
                <w:webHidden/>
              </w:rPr>
              <w:instrText xml:space="preserve"> PAGEREF _Toc147242412 \h </w:instrText>
            </w:r>
            <w:r w:rsidR="00F70AD5" w:rsidRPr="00805C22">
              <w:rPr>
                <w:webHidden/>
              </w:rPr>
            </w:r>
            <w:r w:rsidR="00F70AD5" w:rsidRPr="00805C22">
              <w:rPr>
                <w:webHidden/>
              </w:rPr>
              <w:fldChar w:fldCharType="separate"/>
            </w:r>
            <w:r>
              <w:rPr>
                <w:webHidden/>
              </w:rPr>
              <w:t>108</w:t>
            </w:r>
            <w:r w:rsidR="00F70AD5" w:rsidRPr="00805C22">
              <w:rPr>
                <w:webHidden/>
              </w:rPr>
              <w:fldChar w:fldCharType="end"/>
            </w:r>
          </w:hyperlink>
        </w:p>
        <w:p w14:paraId="4E32CB08" w14:textId="0786DDB3" w:rsidR="00F70AD5" w:rsidRPr="00805C22" w:rsidRDefault="006E191C" w:rsidP="003C58C0">
          <w:pPr>
            <w:pStyle w:val="TOC3"/>
            <w:spacing w:line="360" w:lineRule="auto"/>
            <w:rPr>
              <w:rFonts w:eastAsiaTheme="minorEastAsia"/>
              <w:kern w:val="2"/>
              <w:lang w:val="en-US"/>
              <w14:ligatures w14:val="standardContextual"/>
            </w:rPr>
          </w:pPr>
          <w:hyperlink w:anchor="_Toc147242413" w:history="1">
            <w:r w:rsidR="00F70AD5" w:rsidRPr="00805C22">
              <w:rPr>
                <w:rStyle w:val="Hyperlink"/>
                <w:rFonts w:ascii="Open Sans" w:hAnsi="Open Sans" w:cs="Open Sans"/>
                <w:szCs w:val="24"/>
              </w:rPr>
              <w:t>3.7 Infrastructure and works</w:t>
            </w:r>
            <w:r w:rsidR="00F70AD5" w:rsidRPr="00805C22">
              <w:rPr>
                <w:webHidden/>
              </w:rPr>
              <w:tab/>
            </w:r>
            <w:r w:rsidR="00F70AD5" w:rsidRPr="00805C22">
              <w:rPr>
                <w:webHidden/>
              </w:rPr>
              <w:fldChar w:fldCharType="begin"/>
            </w:r>
            <w:r w:rsidR="00F70AD5" w:rsidRPr="00805C22">
              <w:rPr>
                <w:webHidden/>
              </w:rPr>
              <w:instrText xml:space="preserve"> PAGEREF _Toc147242413 \h </w:instrText>
            </w:r>
            <w:r w:rsidR="00F70AD5" w:rsidRPr="00805C22">
              <w:rPr>
                <w:webHidden/>
              </w:rPr>
            </w:r>
            <w:r w:rsidR="00F70AD5" w:rsidRPr="00805C22">
              <w:rPr>
                <w:webHidden/>
              </w:rPr>
              <w:fldChar w:fldCharType="separate"/>
            </w:r>
            <w:r>
              <w:rPr>
                <w:webHidden/>
              </w:rPr>
              <w:t>112</w:t>
            </w:r>
            <w:r w:rsidR="00F70AD5" w:rsidRPr="00805C22">
              <w:rPr>
                <w:webHidden/>
              </w:rPr>
              <w:fldChar w:fldCharType="end"/>
            </w:r>
          </w:hyperlink>
        </w:p>
        <w:p w14:paraId="0DA3D950" w14:textId="364F184D" w:rsidR="00F70AD5" w:rsidRPr="00805C22" w:rsidRDefault="006E191C" w:rsidP="003C58C0">
          <w:pPr>
            <w:pStyle w:val="TOC3"/>
            <w:spacing w:line="360" w:lineRule="auto"/>
            <w:rPr>
              <w:rFonts w:eastAsiaTheme="minorEastAsia"/>
              <w:kern w:val="2"/>
              <w:lang w:val="en-US"/>
              <w14:ligatures w14:val="standardContextual"/>
            </w:rPr>
          </w:pPr>
          <w:hyperlink w:anchor="_Toc147242414" w:history="1">
            <w:r w:rsidR="00F70AD5" w:rsidRPr="00805C22">
              <w:rPr>
                <w:rStyle w:val="Hyperlink"/>
                <w:rFonts w:ascii="Open Sans" w:hAnsi="Open Sans" w:cs="Open Sans"/>
                <w:szCs w:val="24"/>
              </w:rPr>
              <w:t>3.8 Closure costs</w:t>
            </w:r>
            <w:r w:rsidR="00F70AD5" w:rsidRPr="00805C22">
              <w:rPr>
                <w:webHidden/>
              </w:rPr>
              <w:tab/>
            </w:r>
            <w:r w:rsidR="00F70AD5" w:rsidRPr="00805C22">
              <w:rPr>
                <w:webHidden/>
              </w:rPr>
              <w:fldChar w:fldCharType="begin"/>
            </w:r>
            <w:r w:rsidR="00F70AD5" w:rsidRPr="00805C22">
              <w:rPr>
                <w:webHidden/>
              </w:rPr>
              <w:instrText xml:space="preserve"> PAGEREF _Toc147242414 \h </w:instrText>
            </w:r>
            <w:r w:rsidR="00F70AD5" w:rsidRPr="00805C22">
              <w:rPr>
                <w:webHidden/>
              </w:rPr>
            </w:r>
            <w:r w:rsidR="00F70AD5" w:rsidRPr="00805C22">
              <w:rPr>
                <w:webHidden/>
              </w:rPr>
              <w:fldChar w:fldCharType="separate"/>
            </w:r>
            <w:r>
              <w:rPr>
                <w:webHidden/>
              </w:rPr>
              <w:t>117</w:t>
            </w:r>
            <w:r w:rsidR="00F70AD5" w:rsidRPr="00805C22">
              <w:rPr>
                <w:webHidden/>
              </w:rPr>
              <w:fldChar w:fldCharType="end"/>
            </w:r>
          </w:hyperlink>
        </w:p>
        <w:p w14:paraId="61D478A6" w14:textId="7EFC953A" w:rsidR="00F70AD5" w:rsidRPr="00805C22" w:rsidRDefault="006E191C" w:rsidP="003C58C0">
          <w:pPr>
            <w:pStyle w:val="TOC2"/>
            <w:spacing w:line="360" w:lineRule="auto"/>
            <w:rPr>
              <w:rFonts w:eastAsiaTheme="minorEastAsia"/>
              <w:kern w:val="2"/>
              <w:lang w:val="en-US"/>
              <w14:ligatures w14:val="standardContextual"/>
            </w:rPr>
          </w:pPr>
          <w:hyperlink w:anchor="_Toc147242415" w:history="1">
            <w:r w:rsidR="00F70AD5" w:rsidRPr="00805C22">
              <w:rPr>
                <w:rStyle w:val="Hyperlink"/>
                <w:rFonts w:ascii="Open Sans" w:hAnsi="Open Sans" w:cs="Open Sans"/>
                <w:szCs w:val="24"/>
              </w:rPr>
              <w:t>4 REIMBURSEMENT OF SMALL-SCALE PROJECTS</w:t>
            </w:r>
            <w:r w:rsidR="00F70AD5" w:rsidRPr="00805C22">
              <w:rPr>
                <w:webHidden/>
              </w:rPr>
              <w:tab/>
            </w:r>
            <w:r w:rsidR="00F70AD5" w:rsidRPr="00805C22">
              <w:rPr>
                <w:webHidden/>
              </w:rPr>
              <w:fldChar w:fldCharType="begin"/>
            </w:r>
            <w:r w:rsidR="00F70AD5" w:rsidRPr="00805C22">
              <w:rPr>
                <w:webHidden/>
              </w:rPr>
              <w:instrText xml:space="preserve"> PAGEREF _Toc147242415 \h </w:instrText>
            </w:r>
            <w:r w:rsidR="00F70AD5" w:rsidRPr="00805C22">
              <w:rPr>
                <w:webHidden/>
              </w:rPr>
            </w:r>
            <w:r w:rsidR="00F70AD5" w:rsidRPr="00805C22">
              <w:rPr>
                <w:webHidden/>
              </w:rPr>
              <w:fldChar w:fldCharType="separate"/>
            </w:r>
            <w:r>
              <w:rPr>
                <w:webHidden/>
              </w:rPr>
              <w:t>118</w:t>
            </w:r>
            <w:r w:rsidR="00F70AD5" w:rsidRPr="00805C22">
              <w:rPr>
                <w:webHidden/>
              </w:rPr>
              <w:fldChar w:fldCharType="end"/>
            </w:r>
          </w:hyperlink>
        </w:p>
        <w:p w14:paraId="2F25670D" w14:textId="03CCF664" w:rsidR="00F70AD5" w:rsidRPr="00805C22" w:rsidRDefault="006E191C" w:rsidP="003C58C0">
          <w:pPr>
            <w:pStyle w:val="TOC2"/>
            <w:spacing w:line="360" w:lineRule="auto"/>
            <w:rPr>
              <w:rFonts w:eastAsiaTheme="minorEastAsia"/>
              <w:kern w:val="2"/>
              <w:lang w:val="en-US"/>
              <w14:ligatures w14:val="standardContextual"/>
            </w:rPr>
          </w:pPr>
          <w:hyperlink w:anchor="_Toc147242416" w:history="1">
            <w:r w:rsidR="00F70AD5" w:rsidRPr="00805C22">
              <w:rPr>
                <w:rStyle w:val="Hyperlink"/>
                <w:rFonts w:ascii="Open Sans" w:hAnsi="Open Sans" w:cs="Open Sans"/>
                <w:szCs w:val="24"/>
              </w:rPr>
              <w:t>5 VAT</w:t>
            </w:r>
            <w:r w:rsidR="00F70AD5" w:rsidRPr="00805C22">
              <w:rPr>
                <w:webHidden/>
              </w:rPr>
              <w:tab/>
            </w:r>
            <w:r w:rsidR="00F70AD5" w:rsidRPr="00805C22">
              <w:rPr>
                <w:webHidden/>
              </w:rPr>
              <w:fldChar w:fldCharType="begin"/>
            </w:r>
            <w:r w:rsidR="00F70AD5" w:rsidRPr="00805C22">
              <w:rPr>
                <w:webHidden/>
              </w:rPr>
              <w:instrText xml:space="preserve"> PAGEREF _Toc147242416 \h </w:instrText>
            </w:r>
            <w:r w:rsidR="00F70AD5" w:rsidRPr="00805C22">
              <w:rPr>
                <w:webHidden/>
              </w:rPr>
            </w:r>
            <w:r w:rsidR="00F70AD5" w:rsidRPr="00805C22">
              <w:rPr>
                <w:webHidden/>
              </w:rPr>
              <w:fldChar w:fldCharType="separate"/>
            </w:r>
            <w:r>
              <w:rPr>
                <w:webHidden/>
              </w:rPr>
              <w:t>119</w:t>
            </w:r>
            <w:r w:rsidR="00F70AD5" w:rsidRPr="00805C22">
              <w:rPr>
                <w:webHidden/>
              </w:rPr>
              <w:fldChar w:fldCharType="end"/>
            </w:r>
          </w:hyperlink>
        </w:p>
        <w:p w14:paraId="48EF2308" w14:textId="66359B39" w:rsidR="00F70AD5" w:rsidRPr="00805C22" w:rsidRDefault="006E191C" w:rsidP="003C58C0">
          <w:pPr>
            <w:pStyle w:val="TOC2"/>
            <w:spacing w:line="360" w:lineRule="auto"/>
            <w:rPr>
              <w:rFonts w:eastAsiaTheme="minorEastAsia"/>
              <w:kern w:val="2"/>
              <w:lang w:val="en-US"/>
              <w14:ligatures w14:val="standardContextual"/>
            </w:rPr>
          </w:pPr>
          <w:hyperlink w:anchor="_Toc147242417" w:history="1">
            <w:r w:rsidR="00F70AD5" w:rsidRPr="00805C22">
              <w:rPr>
                <w:rStyle w:val="Hyperlink"/>
                <w:rFonts w:ascii="Open Sans" w:hAnsi="Open Sans" w:cs="Open Sans"/>
                <w:szCs w:val="24"/>
              </w:rPr>
              <w:t>6 COST SHARING</w:t>
            </w:r>
            <w:r w:rsidR="00F70AD5" w:rsidRPr="00805C22">
              <w:rPr>
                <w:webHidden/>
              </w:rPr>
              <w:tab/>
            </w:r>
            <w:r w:rsidR="00F70AD5" w:rsidRPr="00805C22">
              <w:rPr>
                <w:webHidden/>
              </w:rPr>
              <w:fldChar w:fldCharType="begin"/>
            </w:r>
            <w:r w:rsidR="00F70AD5" w:rsidRPr="00805C22">
              <w:rPr>
                <w:webHidden/>
              </w:rPr>
              <w:instrText xml:space="preserve"> PAGEREF _Toc147242417 \h </w:instrText>
            </w:r>
            <w:r w:rsidR="00F70AD5" w:rsidRPr="00805C22">
              <w:rPr>
                <w:webHidden/>
              </w:rPr>
            </w:r>
            <w:r w:rsidR="00F70AD5" w:rsidRPr="00805C22">
              <w:rPr>
                <w:webHidden/>
              </w:rPr>
              <w:fldChar w:fldCharType="separate"/>
            </w:r>
            <w:r>
              <w:rPr>
                <w:webHidden/>
              </w:rPr>
              <w:t>119</w:t>
            </w:r>
            <w:r w:rsidR="00F70AD5" w:rsidRPr="00805C22">
              <w:rPr>
                <w:webHidden/>
              </w:rPr>
              <w:fldChar w:fldCharType="end"/>
            </w:r>
          </w:hyperlink>
        </w:p>
        <w:p w14:paraId="191FC46C" w14:textId="1B5284D9" w:rsidR="00F70AD5" w:rsidRPr="00805C22" w:rsidRDefault="006E191C" w:rsidP="003C58C0">
          <w:pPr>
            <w:pStyle w:val="TOC2"/>
            <w:spacing w:line="360" w:lineRule="auto"/>
            <w:rPr>
              <w:rFonts w:eastAsiaTheme="minorEastAsia"/>
              <w:kern w:val="2"/>
              <w:lang w:val="en-US"/>
              <w14:ligatures w14:val="standardContextual"/>
            </w:rPr>
          </w:pPr>
          <w:hyperlink w:anchor="_Toc147242418" w:history="1">
            <w:r w:rsidR="00F70AD5" w:rsidRPr="00805C22">
              <w:rPr>
                <w:rStyle w:val="Hyperlink"/>
                <w:rFonts w:ascii="Open Sans" w:hAnsi="Open Sans" w:cs="Open Sans"/>
                <w:szCs w:val="24"/>
              </w:rPr>
              <w:t>7 COMPETITION AND PUBLIC PROCUREMENT</w:t>
            </w:r>
            <w:r w:rsidR="00F70AD5" w:rsidRPr="00805C22">
              <w:rPr>
                <w:webHidden/>
              </w:rPr>
              <w:tab/>
            </w:r>
            <w:r w:rsidR="00F70AD5" w:rsidRPr="00805C22">
              <w:rPr>
                <w:webHidden/>
              </w:rPr>
              <w:fldChar w:fldCharType="begin"/>
            </w:r>
            <w:r w:rsidR="00F70AD5" w:rsidRPr="00805C22">
              <w:rPr>
                <w:webHidden/>
              </w:rPr>
              <w:instrText xml:space="preserve"> PAGEREF _Toc147242418 \h </w:instrText>
            </w:r>
            <w:r w:rsidR="00F70AD5" w:rsidRPr="00805C22">
              <w:rPr>
                <w:webHidden/>
              </w:rPr>
            </w:r>
            <w:r w:rsidR="00F70AD5" w:rsidRPr="00805C22">
              <w:rPr>
                <w:webHidden/>
              </w:rPr>
              <w:fldChar w:fldCharType="separate"/>
            </w:r>
            <w:r>
              <w:rPr>
                <w:webHidden/>
              </w:rPr>
              <w:t>119</w:t>
            </w:r>
            <w:r w:rsidR="00F70AD5" w:rsidRPr="00805C22">
              <w:rPr>
                <w:webHidden/>
              </w:rPr>
              <w:fldChar w:fldCharType="end"/>
            </w:r>
          </w:hyperlink>
        </w:p>
        <w:p w14:paraId="72BF26E4" w14:textId="0D473689" w:rsidR="00F70AD5" w:rsidRPr="00805C22" w:rsidRDefault="006E191C" w:rsidP="003C58C0">
          <w:pPr>
            <w:pStyle w:val="TOC3"/>
            <w:spacing w:line="360" w:lineRule="auto"/>
            <w:rPr>
              <w:rFonts w:eastAsiaTheme="minorEastAsia"/>
              <w:kern w:val="2"/>
              <w:lang w:val="en-US"/>
              <w14:ligatures w14:val="standardContextual"/>
            </w:rPr>
          </w:pPr>
          <w:hyperlink w:anchor="_Toc147242419" w:history="1">
            <w:r w:rsidR="00F70AD5" w:rsidRPr="00805C22">
              <w:rPr>
                <w:rStyle w:val="Hyperlink"/>
                <w:rFonts w:ascii="Open Sans" w:hAnsi="Open Sans" w:cs="Open Sans"/>
                <w:szCs w:val="24"/>
              </w:rPr>
              <w:t>7.1 Conducting procurement procedures</w:t>
            </w:r>
            <w:r w:rsidR="00F70AD5" w:rsidRPr="00805C22">
              <w:rPr>
                <w:webHidden/>
              </w:rPr>
              <w:tab/>
            </w:r>
            <w:r w:rsidR="00F70AD5" w:rsidRPr="00805C22">
              <w:rPr>
                <w:webHidden/>
              </w:rPr>
              <w:fldChar w:fldCharType="begin"/>
            </w:r>
            <w:r w:rsidR="00F70AD5" w:rsidRPr="00805C22">
              <w:rPr>
                <w:webHidden/>
              </w:rPr>
              <w:instrText xml:space="preserve"> PAGEREF _Toc147242419 \h </w:instrText>
            </w:r>
            <w:r w:rsidR="00F70AD5" w:rsidRPr="00805C22">
              <w:rPr>
                <w:webHidden/>
              </w:rPr>
            </w:r>
            <w:r w:rsidR="00F70AD5" w:rsidRPr="00805C22">
              <w:rPr>
                <w:webHidden/>
              </w:rPr>
              <w:fldChar w:fldCharType="separate"/>
            </w:r>
            <w:r>
              <w:rPr>
                <w:webHidden/>
              </w:rPr>
              <w:t>120</w:t>
            </w:r>
            <w:r w:rsidR="00F70AD5" w:rsidRPr="00805C22">
              <w:rPr>
                <w:webHidden/>
              </w:rPr>
              <w:fldChar w:fldCharType="end"/>
            </w:r>
          </w:hyperlink>
        </w:p>
        <w:p w14:paraId="2A43F9DB" w14:textId="318956D7" w:rsidR="00F70AD5" w:rsidRPr="00805C22" w:rsidRDefault="006E191C" w:rsidP="003C58C0">
          <w:pPr>
            <w:pStyle w:val="TOC3"/>
            <w:spacing w:line="360" w:lineRule="auto"/>
            <w:rPr>
              <w:rFonts w:eastAsiaTheme="minorEastAsia"/>
              <w:kern w:val="2"/>
              <w:lang w:val="en-US"/>
              <w14:ligatures w14:val="standardContextual"/>
            </w:rPr>
          </w:pPr>
          <w:hyperlink w:anchor="_Toc147242420" w:history="1">
            <w:r w:rsidR="00F70AD5" w:rsidRPr="00805C22">
              <w:rPr>
                <w:rStyle w:val="Hyperlink"/>
                <w:rFonts w:ascii="Open Sans" w:hAnsi="Open Sans" w:cs="Open Sans"/>
                <w:szCs w:val="24"/>
              </w:rPr>
              <w:t>7.2 Conflict of interest and anti-corruption</w:t>
            </w:r>
            <w:r w:rsidR="00F70AD5" w:rsidRPr="00805C22">
              <w:rPr>
                <w:webHidden/>
              </w:rPr>
              <w:tab/>
            </w:r>
            <w:r w:rsidR="00F70AD5" w:rsidRPr="00805C22">
              <w:rPr>
                <w:webHidden/>
              </w:rPr>
              <w:fldChar w:fldCharType="begin"/>
            </w:r>
            <w:r w:rsidR="00F70AD5" w:rsidRPr="00805C22">
              <w:rPr>
                <w:webHidden/>
              </w:rPr>
              <w:instrText xml:space="preserve"> PAGEREF _Toc147242420 \h </w:instrText>
            </w:r>
            <w:r w:rsidR="00F70AD5" w:rsidRPr="00805C22">
              <w:rPr>
                <w:webHidden/>
              </w:rPr>
            </w:r>
            <w:r w:rsidR="00F70AD5" w:rsidRPr="00805C22">
              <w:rPr>
                <w:webHidden/>
              </w:rPr>
              <w:fldChar w:fldCharType="separate"/>
            </w:r>
            <w:r>
              <w:rPr>
                <w:webHidden/>
              </w:rPr>
              <w:t>122</w:t>
            </w:r>
            <w:r w:rsidR="00F70AD5" w:rsidRPr="00805C22">
              <w:rPr>
                <w:webHidden/>
              </w:rPr>
              <w:fldChar w:fldCharType="end"/>
            </w:r>
          </w:hyperlink>
        </w:p>
        <w:p w14:paraId="0CD5184F" w14:textId="1D5202F5" w:rsidR="00F70AD5" w:rsidRPr="00805C22" w:rsidRDefault="006E191C" w:rsidP="003C58C0">
          <w:pPr>
            <w:pStyle w:val="TOC2"/>
            <w:spacing w:line="360" w:lineRule="auto"/>
            <w:rPr>
              <w:rFonts w:eastAsiaTheme="minorEastAsia"/>
              <w:kern w:val="2"/>
              <w:lang w:val="en-US"/>
              <w14:ligatures w14:val="standardContextual"/>
            </w:rPr>
          </w:pPr>
          <w:hyperlink w:anchor="_Toc147242421" w:history="1">
            <w:r w:rsidR="00F70AD5" w:rsidRPr="00805C22">
              <w:rPr>
                <w:rStyle w:val="Hyperlink"/>
                <w:rFonts w:ascii="Open Sans" w:hAnsi="Open Sans" w:cs="Open Sans"/>
                <w:szCs w:val="24"/>
              </w:rPr>
              <w:t>8 CONTRACTUAL OBLIGATIONS</w:t>
            </w:r>
            <w:r w:rsidR="00F70AD5" w:rsidRPr="00805C22">
              <w:rPr>
                <w:webHidden/>
              </w:rPr>
              <w:tab/>
            </w:r>
            <w:r w:rsidR="00F70AD5" w:rsidRPr="00805C22">
              <w:rPr>
                <w:webHidden/>
              </w:rPr>
              <w:fldChar w:fldCharType="begin"/>
            </w:r>
            <w:r w:rsidR="00F70AD5" w:rsidRPr="00805C22">
              <w:rPr>
                <w:webHidden/>
              </w:rPr>
              <w:instrText xml:space="preserve"> PAGEREF _Toc147242421 \h </w:instrText>
            </w:r>
            <w:r w:rsidR="00F70AD5" w:rsidRPr="00805C22">
              <w:rPr>
                <w:webHidden/>
              </w:rPr>
            </w:r>
            <w:r w:rsidR="00F70AD5" w:rsidRPr="00805C22">
              <w:rPr>
                <w:webHidden/>
              </w:rPr>
              <w:fldChar w:fldCharType="separate"/>
            </w:r>
            <w:r>
              <w:rPr>
                <w:webHidden/>
              </w:rPr>
              <w:t>127</w:t>
            </w:r>
            <w:r w:rsidR="00F70AD5" w:rsidRPr="00805C22">
              <w:rPr>
                <w:webHidden/>
              </w:rPr>
              <w:fldChar w:fldCharType="end"/>
            </w:r>
          </w:hyperlink>
        </w:p>
        <w:p w14:paraId="661248B1" w14:textId="6319386B" w:rsidR="00F70AD5" w:rsidRPr="00805C22" w:rsidRDefault="006E191C" w:rsidP="003C58C0">
          <w:pPr>
            <w:pStyle w:val="TOC2"/>
            <w:spacing w:line="360" w:lineRule="auto"/>
            <w:rPr>
              <w:rFonts w:eastAsiaTheme="minorEastAsia"/>
              <w:kern w:val="2"/>
              <w:lang w:val="en-US"/>
              <w14:ligatures w14:val="standardContextual"/>
            </w:rPr>
          </w:pPr>
          <w:hyperlink w:anchor="_Toc147242422" w:history="1">
            <w:r w:rsidR="00F70AD5" w:rsidRPr="00805C22">
              <w:rPr>
                <w:rStyle w:val="Hyperlink"/>
                <w:rFonts w:ascii="Open Sans" w:hAnsi="Open Sans" w:cs="Open Sans"/>
                <w:szCs w:val="24"/>
              </w:rPr>
              <w:t>9 STATE AID</w:t>
            </w:r>
            <w:r w:rsidR="00F70AD5" w:rsidRPr="00805C22">
              <w:rPr>
                <w:webHidden/>
              </w:rPr>
              <w:tab/>
            </w:r>
            <w:r w:rsidR="00F70AD5" w:rsidRPr="00805C22">
              <w:rPr>
                <w:webHidden/>
              </w:rPr>
              <w:fldChar w:fldCharType="begin"/>
            </w:r>
            <w:r w:rsidR="00F70AD5" w:rsidRPr="00805C22">
              <w:rPr>
                <w:webHidden/>
              </w:rPr>
              <w:instrText xml:space="preserve"> PAGEREF _Toc147242422 \h </w:instrText>
            </w:r>
            <w:r w:rsidR="00F70AD5" w:rsidRPr="00805C22">
              <w:rPr>
                <w:webHidden/>
              </w:rPr>
            </w:r>
            <w:r w:rsidR="00F70AD5" w:rsidRPr="00805C22">
              <w:rPr>
                <w:webHidden/>
              </w:rPr>
              <w:fldChar w:fldCharType="separate"/>
            </w:r>
            <w:r>
              <w:rPr>
                <w:webHidden/>
              </w:rPr>
              <w:t>128</w:t>
            </w:r>
            <w:r w:rsidR="00F70AD5" w:rsidRPr="00805C22">
              <w:rPr>
                <w:webHidden/>
              </w:rPr>
              <w:fldChar w:fldCharType="end"/>
            </w:r>
          </w:hyperlink>
        </w:p>
        <w:p w14:paraId="667B9EC4" w14:textId="77E0758A" w:rsidR="00F70AD5" w:rsidRPr="00805C22" w:rsidRDefault="006E191C" w:rsidP="003C58C0">
          <w:pPr>
            <w:pStyle w:val="TOC3"/>
            <w:spacing w:line="360" w:lineRule="auto"/>
            <w:rPr>
              <w:rFonts w:eastAsiaTheme="minorEastAsia"/>
              <w:kern w:val="2"/>
              <w:lang w:val="en-US"/>
              <w14:ligatures w14:val="standardContextual"/>
            </w:rPr>
          </w:pPr>
          <w:hyperlink w:anchor="_Toc147242423" w:history="1">
            <w:r w:rsidR="00F70AD5" w:rsidRPr="00805C22">
              <w:rPr>
                <w:rStyle w:val="Hyperlink"/>
                <w:rFonts w:ascii="Open Sans" w:hAnsi="Open Sans" w:cs="Open Sans"/>
                <w:szCs w:val="24"/>
              </w:rPr>
              <w:t>9.1 The concept of State aid</w:t>
            </w:r>
            <w:r w:rsidR="00F70AD5" w:rsidRPr="00805C22">
              <w:rPr>
                <w:webHidden/>
              </w:rPr>
              <w:tab/>
            </w:r>
            <w:r w:rsidR="00F70AD5" w:rsidRPr="00805C22">
              <w:rPr>
                <w:webHidden/>
              </w:rPr>
              <w:fldChar w:fldCharType="begin"/>
            </w:r>
            <w:r w:rsidR="00F70AD5" w:rsidRPr="00805C22">
              <w:rPr>
                <w:webHidden/>
              </w:rPr>
              <w:instrText xml:space="preserve"> PAGEREF _Toc147242423 \h </w:instrText>
            </w:r>
            <w:r w:rsidR="00F70AD5" w:rsidRPr="00805C22">
              <w:rPr>
                <w:webHidden/>
              </w:rPr>
            </w:r>
            <w:r w:rsidR="00F70AD5" w:rsidRPr="00805C22">
              <w:rPr>
                <w:webHidden/>
              </w:rPr>
              <w:fldChar w:fldCharType="separate"/>
            </w:r>
            <w:r>
              <w:rPr>
                <w:webHidden/>
              </w:rPr>
              <w:t>128</w:t>
            </w:r>
            <w:r w:rsidR="00F70AD5" w:rsidRPr="00805C22">
              <w:rPr>
                <w:webHidden/>
              </w:rPr>
              <w:fldChar w:fldCharType="end"/>
            </w:r>
          </w:hyperlink>
        </w:p>
        <w:p w14:paraId="2F86B7B2" w14:textId="146B2326" w:rsidR="00F70AD5" w:rsidRPr="00805C22" w:rsidRDefault="006E191C" w:rsidP="003C58C0">
          <w:pPr>
            <w:pStyle w:val="TOC3"/>
            <w:spacing w:line="360" w:lineRule="auto"/>
            <w:rPr>
              <w:rFonts w:eastAsiaTheme="minorEastAsia"/>
              <w:kern w:val="2"/>
              <w:lang w:val="en-US"/>
              <w14:ligatures w14:val="standardContextual"/>
            </w:rPr>
          </w:pPr>
          <w:hyperlink w:anchor="_Toc147242424" w:history="1">
            <w:r w:rsidR="00F70AD5" w:rsidRPr="00805C22">
              <w:rPr>
                <w:rStyle w:val="Hyperlink"/>
                <w:rFonts w:ascii="Open Sans" w:hAnsi="Open Sans" w:cs="Open Sans"/>
                <w:szCs w:val="24"/>
              </w:rPr>
              <w:t>9.2 State aid in the Interreg South Baltic Programme</w:t>
            </w:r>
            <w:r w:rsidR="00F70AD5" w:rsidRPr="00805C22">
              <w:rPr>
                <w:webHidden/>
              </w:rPr>
              <w:tab/>
            </w:r>
            <w:r w:rsidR="00F70AD5" w:rsidRPr="00805C22">
              <w:rPr>
                <w:webHidden/>
              </w:rPr>
              <w:fldChar w:fldCharType="begin"/>
            </w:r>
            <w:r w:rsidR="00F70AD5" w:rsidRPr="00805C22">
              <w:rPr>
                <w:webHidden/>
              </w:rPr>
              <w:instrText xml:space="preserve"> PAGEREF _Toc147242424 \h </w:instrText>
            </w:r>
            <w:r w:rsidR="00F70AD5" w:rsidRPr="00805C22">
              <w:rPr>
                <w:webHidden/>
              </w:rPr>
            </w:r>
            <w:r w:rsidR="00F70AD5" w:rsidRPr="00805C22">
              <w:rPr>
                <w:webHidden/>
              </w:rPr>
              <w:fldChar w:fldCharType="separate"/>
            </w:r>
            <w:r>
              <w:rPr>
                <w:webHidden/>
              </w:rPr>
              <w:t>130</w:t>
            </w:r>
            <w:r w:rsidR="00F70AD5" w:rsidRPr="00805C22">
              <w:rPr>
                <w:webHidden/>
              </w:rPr>
              <w:fldChar w:fldCharType="end"/>
            </w:r>
          </w:hyperlink>
        </w:p>
        <w:p w14:paraId="5E41F01E" w14:textId="6DECD775" w:rsidR="00F70AD5" w:rsidRPr="00805C22" w:rsidRDefault="006E191C" w:rsidP="003C58C0">
          <w:pPr>
            <w:pStyle w:val="TOC3"/>
            <w:spacing w:line="360" w:lineRule="auto"/>
            <w:rPr>
              <w:rFonts w:eastAsiaTheme="minorEastAsia"/>
              <w:kern w:val="2"/>
              <w:lang w:val="en-US"/>
              <w14:ligatures w14:val="standardContextual"/>
            </w:rPr>
          </w:pPr>
          <w:hyperlink w:anchor="_Toc147242425" w:history="1">
            <w:r w:rsidR="00F70AD5" w:rsidRPr="00805C22">
              <w:rPr>
                <w:rStyle w:val="Hyperlink"/>
                <w:rFonts w:ascii="Open Sans" w:hAnsi="Open Sans" w:cs="Open Sans"/>
                <w:szCs w:val="24"/>
              </w:rPr>
              <w:t>9.3 Intensity level of aid</w:t>
            </w:r>
            <w:r w:rsidR="00F70AD5" w:rsidRPr="00805C22">
              <w:rPr>
                <w:webHidden/>
              </w:rPr>
              <w:tab/>
            </w:r>
            <w:r w:rsidR="00F70AD5" w:rsidRPr="00805C22">
              <w:rPr>
                <w:webHidden/>
              </w:rPr>
              <w:fldChar w:fldCharType="begin"/>
            </w:r>
            <w:r w:rsidR="00F70AD5" w:rsidRPr="00805C22">
              <w:rPr>
                <w:webHidden/>
              </w:rPr>
              <w:instrText xml:space="preserve"> PAGEREF _Toc147242425 \h </w:instrText>
            </w:r>
            <w:r w:rsidR="00F70AD5" w:rsidRPr="00805C22">
              <w:rPr>
                <w:webHidden/>
              </w:rPr>
            </w:r>
            <w:r w:rsidR="00F70AD5" w:rsidRPr="00805C22">
              <w:rPr>
                <w:webHidden/>
              </w:rPr>
              <w:fldChar w:fldCharType="separate"/>
            </w:r>
            <w:r>
              <w:rPr>
                <w:webHidden/>
              </w:rPr>
              <w:t>132</w:t>
            </w:r>
            <w:r w:rsidR="00F70AD5" w:rsidRPr="00805C22">
              <w:rPr>
                <w:webHidden/>
              </w:rPr>
              <w:fldChar w:fldCharType="end"/>
            </w:r>
          </w:hyperlink>
        </w:p>
        <w:p w14:paraId="22A5A18A" w14:textId="0F0B34EB" w:rsidR="00F70AD5" w:rsidRPr="00805C22" w:rsidRDefault="006E191C" w:rsidP="003C58C0">
          <w:pPr>
            <w:pStyle w:val="TOC3"/>
            <w:spacing w:line="360" w:lineRule="auto"/>
            <w:rPr>
              <w:rFonts w:eastAsiaTheme="minorEastAsia"/>
              <w:kern w:val="2"/>
              <w:lang w:val="en-US"/>
              <w14:ligatures w14:val="standardContextual"/>
            </w:rPr>
          </w:pPr>
          <w:hyperlink w:anchor="_Toc147242426" w:history="1">
            <w:r w:rsidR="00F70AD5" w:rsidRPr="00805C22">
              <w:rPr>
                <w:rStyle w:val="Hyperlink"/>
                <w:rFonts w:ascii="Open Sans" w:hAnsi="Open Sans" w:cs="Open Sans"/>
                <w:szCs w:val="24"/>
              </w:rPr>
              <w:t>9.4 De minimis aid and its cumulation</w:t>
            </w:r>
            <w:r w:rsidR="00F70AD5" w:rsidRPr="00805C22">
              <w:rPr>
                <w:webHidden/>
              </w:rPr>
              <w:tab/>
            </w:r>
            <w:r w:rsidR="00F70AD5" w:rsidRPr="00805C22">
              <w:rPr>
                <w:webHidden/>
              </w:rPr>
              <w:fldChar w:fldCharType="begin"/>
            </w:r>
            <w:r w:rsidR="00F70AD5" w:rsidRPr="00805C22">
              <w:rPr>
                <w:webHidden/>
              </w:rPr>
              <w:instrText xml:space="preserve"> PAGEREF _Toc147242426 \h </w:instrText>
            </w:r>
            <w:r w:rsidR="00F70AD5" w:rsidRPr="00805C22">
              <w:rPr>
                <w:webHidden/>
              </w:rPr>
            </w:r>
            <w:r w:rsidR="00F70AD5" w:rsidRPr="00805C22">
              <w:rPr>
                <w:webHidden/>
              </w:rPr>
              <w:fldChar w:fldCharType="separate"/>
            </w:r>
            <w:r>
              <w:rPr>
                <w:webHidden/>
              </w:rPr>
              <w:t>133</w:t>
            </w:r>
            <w:r w:rsidR="00F70AD5" w:rsidRPr="00805C22">
              <w:rPr>
                <w:webHidden/>
              </w:rPr>
              <w:fldChar w:fldCharType="end"/>
            </w:r>
          </w:hyperlink>
        </w:p>
        <w:p w14:paraId="47330186" w14:textId="7C472C8F" w:rsidR="00F70AD5" w:rsidRPr="00805C22" w:rsidRDefault="006E191C" w:rsidP="003C58C0">
          <w:pPr>
            <w:pStyle w:val="TOC3"/>
            <w:spacing w:line="360" w:lineRule="auto"/>
            <w:rPr>
              <w:rFonts w:eastAsiaTheme="minorEastAsia"/>
              <w:kern w:val="2"/>
              <w:lang w:val="en-US"/>
              <w14:ligatures w14:val="standardContextual"/>
            </w:rPr>
          </w:pPr>
          <w:hyperlink w:anchor="_Toc147242427" w:history="1">
            <w:r w:rsidR="00F70AD5" w:rsidRPr="00805C22">
              <w:rPr>
                <w:rStyle w:val="Hyperlink"/>
                <w:rFonts w:ascii="Open Sans" w:hAnsi="Open Sans" w:cs="Open Sans"/>
                <w:szCs w:val="24"/>
              </w:rPr>
              <w:t>9.5 Assessment of State aid in the project</w:t>
            </w:r>
            <w:r w:rsidR="00F70AD5" w:rsidRPr="00805C22">
              <w:rPr>
                <w:webHidden/>
              </w:rPr>
              <w:tab/>
            </w:r>
            <w:r w:rsidR="00F70AD5" w:rsidRPr="00805C22">
              <w:rPr>
                <w:webHidden/>
              </w:rPr>
              <w:fldChar w:fldCharType="begin"/>
            </w:r>
            <w:r w:rsidR="00F70AD5" w:rsidRPr="00805C22">
              <w:rPr>
                <w:webHidden/>
              </w:rPr>
              <w:instrText xml:space="preserve"> PAGEREF _Toc147242427 \h </w:instrText>
            </w:r>
            <w:r w:rsidR="00F70AD5" w:rsidRPr="00805C22">
              <w:rPr>
                <w:webHidden/>
              </w:rPr>
            </w:r>
            <w:r w:rsidR="00F70AD5" w:rsidRPr="00805C22">
              <w:rPr>
                <w:webHidden/>
              </w:rPr>
              <w:fldChar w:fldCharType="separate"/>
            </w:r>
            <w:r>
              <w:rPr>
                <w:webHidden/>
              </w:rPr>
              <w:t>134</w:t>
            </w:r>
            <w:r w:rsidR="00F70AD5" w:rsidRPr="00805C22">
              <w:rPr>
                <w:webHidden/>
              </w:rPr>
              <w:fldChar w:fldCharType="end"/>
            </w:r>
          </w:hyperlink>
        </w:p>
        <w:p w14:paraId="0ACE5C15" w14:textId="03242FED" w:rsidR="00F70AD5" w:rsidRPr="00805C22" w:rsidRDefault="006E191C" w:rsidP="003C58C0">
          <w:pPr>
            <w:pStyle w:val="TOC3"/>
            <w:spacing w:line="360" w:lineRule="auto"/>
            <w:rPr>
              <w:rFonts w:eastAsiaTheme="minorEastAsia"/>
              <w:kern w:val="2"/>
              <w:lang w:val="en-US"/>
              <w14:ligatures w14:val="standardContextual"/>
            </w:rPr>
          </w:pPr>
          <w:hyperlink w:anchor="_Toc147242428" w:history="1">
            <w:r w:rsidR="00F70AD5" w:rsidRPr="00805C22">
              <w:rPr>
                <w:rStyle w:val="Hyperlink"/>
                <w:rFonts w:ascii="Open Sans" w:hAnsi="Open Sans" w:cs="Open Sans"/>
                <w:szCs w:val="24"/>
              </w:rPr>
              <w:t>9.6 Awarding aid, monitoring, reporting, and informing</w:t>
            </w:r>
            <w:r w:rsidR="00F70AD5" w:rsidRPr="00805C22">
              <w:rPr>
                <w:webHidden/>
              </w:rPr>
              <w:tab/>
            </w:r>
            <w:r w:rsidR="00F70AD5" w:rsidRPr="00805C22">
              <w:rPr>
                <w:webHidden/>
              </w:rPr>
              <w:fldChar w:fldCharType="begin"/>
            </w:r>
            <w:r w:rsidR="00F70AD5" w:rsidRPr="00805C22">
              <w:rPr>
                <w:webHidden/>
              </w:rPr>
              <w:instrText xml:space="preserve"> PAGEREF _Toc147242428 \h </w:instrText>
            </w:r>
            <w:r w:rsidR="00F70AD5" w:rsidRPr="00805C22">
              <w:rPr>
                <w:webHidden/>
              </w:rPr>
            </w:r>
            <w:r w:rsidR="00F70AD5" w:rsidRPr="00805C22">
              <w:rPr>
                <w:webHidden/>
              </w:rPr>
              <w:fldChar w:fldCharType="separate"/>
            </w:r>
            <w:r>
              <w:rPr>
                <w:webHidden/>
              </w:rPr>
              <w:t>135</w:t>
            </w:r>
            <w:r w:rsidR="00F70AD5" w:rsidRPr="00805C22">
              <w:rPr>
                <w:webHidden/>
              </w:rPr>
              <w:fldChar w:fldCharType="end"/>
            </w:r>
          </w:hyperlink>
        </w:p>
        <w:p w14:paraId="29AF4269" w14:textId="62B05DCA" w:rsidR="00F70AD5" w:rsidRPr="00805C22" w:rsidRDefault="006E191C" w:rsidP="003C58C0">
          <w:pPr>
            <w:pStyle w:val="TOC3"/>
            <w:spacing w:line="360" w:lineRule="auto"/>
            <w:rPr>
              <w:rFonts w:eastAsiaTheme="minorEastAsia"/>
              <w:kern w:val="2"/>
              <w:lang w:val="en-US"/>
              <w14:ligatures w14:val="standardContextual"/>
            </w:rPr>
          </w:pPr>
          <w:hyperlink w:anchor="_Toc147242429" w:history="1">
            <w:r w:rsidR="00F70AD5" w:rsidRPr="00805C22">
              <w:rPr>
                <w:rStyle w:val="Hyperlink"/>
                <w:rFonts w:ascii="Open Sans" w:hAnsi="Open Sans" w:cs="Open Sans"/>
                <w:szCs w:val="24"/>
              </w:rPr>
              <w:t>9.7 Indirect aid</w:t>
            </w:r>
            <w:r w:rsidR="00F70AD5" w:rsidRPr="00805C22">
              <w:rPr>
                <w:webHidden/>
              </w:rPr>
              <w:tab/>
            </w:r>
            <w:r w:rsidR="00F70AD5" w:rsidRPr="00805C22">
              <w:rPr>
                <w:webHidden/>
              </w:rPr>
              <w:fldChar w:fldCharType="begin"/>
            </w:r>
            <w:r w:rsidR="00F70AD5" w:rsidRPr="00805C22">
              <w:rPr>
                <w:webHidden/>
              </w:rPr>
              <w:instrText xml:space="preserve"> PAGEREF _Toc147242429 \h </w:instrText>
            </w:r>
            <w:r w:rsidR="00F70AD5" w:rsidRPr="00805C22">
              <w:rPr>
                <w:webHidden/>
              </w:rPr>
            </w:r>
            <w:r w:rsidR="00F70AD5" w:rsidRPr="00805C22">
              <w:rPr>
                <w:webHidden/>
              </w:rPr>
              <w:fldChar w:fldCharType="separate"/>
            </w:r>
            <w:r>
              <w:rPr>
                <w:webHidden/>
              </w:rPr>
              <w:t>136</w:t>
            </w:r>
            <w:r w:rsidR="00F70AD5" w:rsidRPr="00805C22">
              <w:rPr>
                <w:webHidden/>
              </w:rPr>
              <w:fldChar w:fldCharType="end"/>
            </w:r>
          </w:hyperlink>
        </w:p>
        <w:p w14:paraId="43937323" w14:textId="79556C82" w:rsidR="00F70AD5" w:rsidRPr="00805C22" w:rsidRDefault="006E191C" w:rsidP="003C58C0">
          <w:pPr>
            <w:pStyle w:val="TOC3"/>
            <w:spacing w:line="360" w:lineRule="auto"/>
            <w:rPr>
              <w:rFonts w:eastAsiaTheme="minorEastAsia"/>
              <w:kern w:val="2"/>
              <w:lang w:val="en-US"/>
              <w14:ligatures w14:val="standardContextual"/>
            </w:rPr>
          </w:pPr>
          <w:hyperlink w:anchor="_Toc147242430" w:history="1">
            <w:r w:rsidR="00F70AD5" w:rsidRPr="00805C22">
              <w:rPr>
                <w:rStyle w:val="Hyperlink"/>
                <w:rFonts w:ascii="Open Sans" w:hAnsi="Open Sans" w:cs="Open Sans"/>
                <w:szCs w:val="24"/>
              </w:rPr>
              <w:t>9.8 Storing documents concerning State aid</w:t>
            </w:r>
            <w:r w:rsidR="00F70AD5" w:rsidRPr="00805C22">
              <w:rPr>
                <w:webHidden/>
              </w:rPr>
              <w:tab/>
            </w:r>
            <w:r w:rsidR="00F70AD5" w:rsidRPr="00805C22">
              <w:rPr>
                <w:webHidden/>
              </w:rPr>
              <w:fldChar w:fldCharType="begin"/>
            </w:r>
            <w:r w:rsidR="00F70AD5" w:rsidRPr="00805C22">
              <w:rPr>
                <w:webHidden/>
              </w:rPr>
              <w:instrText xml:space="preserve"> PAGEREF _Toc147242430 \h </w:instrText>
            </w:r>
            <w:r w:rsidR="00F70AD5" w:rsidRPr="00805C22">
              <w:rPr>
                <w:webHidden/>
              </w:rPr>
            </w:r>
            <w:r w:rsidR="00F70AD5" w:rsidRPr="00805C22">
              <w:rPr>
                <w:webHidden/>
              </w:rPr>
              <w:fldChar w:fldCharType="separate"/>
            </w:r>
            <w:r>
              <w:rPr>
                <w:webHidden/>
              </w:rPr>
              <w:t>136</w:t>
            </w:r>
            <w:r w:rsidR="00F70AD5" w:rsidRPr="00805C22">
              <w:rPr>
                <w:webHidden/>
              </w:rPr>
              <w:fldChar w:fldCharType="end"/>
            </w:r>
          </w:hyperlink>
        </w:p>
        <w:p w14:paraId="0AB4DA03" w14:textId="2E92A463" w:rsidR="00F70AD5" w:rsidRPr="00805C22" w:rsidRDefault="006E191C" w:rsidP="003C58C0">
          <w:pPr>
            <w:pStyle w:val="TOC3"/>
            <w:spacing w:line="360" w:lineRule="auto"/>
            <w:rPr>
              <w:rFonts w:eastAsiaTheme="minorEastAsia"/>
              <w:kern w:val="2"/>
              <w:lang w:val="en-US"/>
              <w14:ligatures w14:val="standardContextual"/>
            </w:rPr>
          </w:pPr>
          <w:hyperlink w:anchor="_Toc147242431" w:history="1">
            <w:r w:rsidR="00F70AD5" w:rsidRPr="00805C22">
              <w:rPr>
                <w:rStyle w:val="Hyperlink"/>
                <w:rFonts w:ascii="Open Sans" w:hAnsi="Open Sans" w:cs="Open Sans"/>
                <w:szCs w:val="24"/>
              </w:rPr>
              <w:t>9.9 Control of State aid</w:t>
            </w:r>
            <w:r w:rsidR="00F70AD5" w:rsidRPr="00805C22">
              <w:rPr>
                <w:webHidden/>
              </w:rPr>
              <w:tab/>
            </w:r>
            <w:r w:rsidR="00F70AD5" w:rsidRPr="00805C22">
              <w:rPr>
                <w:webHidden/>
              </w:rPr>
              <w:fldChar w:fldCharType="begin"/>
            </w:r>
            <w:r w:rsidR="00F70AD5" w:rsidRPr="00805C22">
              <w:rPr>
                <w:webHidden/>
              </w:rPr>
              <w:instrText xml:space="preserve"> PAGEREF _Toc147242431 \h </w:instrText>
            </w:r>
            <w:r w:rsidR="00F70AD5" w:rsidRPr="00805C22">
              <w:rPr>
                <w:webHidden/>
              </w:rPr>
            </w:r>
            <w:r w:rsidR="00F70AD5" w:rsidRPr="00805C22">
              <w:rPr>
                <w:webHidden/>
              </w:rPr>
              <w:fldChar w:fldCharType="separate"/>
            </w:r>
            <w:r>
              <w:rPr>
                <w:webHidden/>
              </w:rPr>
              <w:t>136</w:t>
            </w:r>
            <w:r w:rsidR="00F70AD5" w:rsidRPr="00805C22">
              <w:rPr>
                <w:webHidden/>
              </w:rPr>
              <w:fldChar w:fldCharType="end"/>
            </w:r>
          </w:hyperlink>
        </w:p>
        <w:p w14:paraId="571C65D4" w14:textId="3B941F3F" w:rsidR="00F70AD5" w:rsidRPr="00805C22" w:rsidRDefault="006E191C" w:rsidP="003C58C0">
          <w:pPr>
            <w:pStyle w:val="TOC1"/>
            <w:spacing w:line="360" w:lineRule="auto"/>
            <w:rPr>
              <w:rFonts w:eastAsiaTheme="minorEastAsia"/>
              <w:kern w:val="2"/>
              <w14:ligatures w14:val="standardContextual"/>
            </w:rPr>
          </w:pPr>
          <w:hyperlink w:anchor="_Toc147242432" w:history="1">
            <w:r w:rsidR="00F70AD5" w:rsidRPr="00805C22">
              <w:rPr>
                <w:rStyle w:val="Hyperlink"/>
                <w:szCs w:val="24"/>
              </w:rPr>
              <w:t>V PROJECT PREPARATION, APPLICATION AND SELECTION</w:t>
            </w:r>
            <w:r w:rsidR="00F70AD5" w:rsidRPr="00805C22">
              <w:rPr>
                <w:webHidden/>
              </w:rPr>
              <w:tab/>
            </w:r>
            <w:r w:rsidR="00F70AD5" w:rsidRPr="00805C22">
              <w:rPr>
                <w:webHidden/>
              </w:rPr>
              <w:fldChar w:fldCharType="begin"/>
            </w:r>
            <w:r w:rsidR="00F70AD5" w:rsidRPr="00805C22">
              <w:rPr>
                <w:webHidden/>
              </w:rPr>
              <w:instrText xml:space="preserve"> PAGEREF _Toc147242432 \h </w:instrText>
            </w:r>
            <w:r w:rsidR="00F70AD5" w:rsidRPr="00805C22">
              <w:rPr>
                <w:webHidden/>
              </w:rPr>
            </w:r>
            <w:r w:rsidR="00F70AD5" w:rsidRPr="00805C22">
              <w:rPr>
                <w:webHidden/>
              </w:rPr>
              <w:fldChar w:fldCharType="separate"/>
            </w:r>
            <w:r>
              <w:rPr>
                <w:webHidden/>
              </w:rPr>
              <w:t>137</w:t>
            </w:r>
            <w:r w:rsidR="00F70AD5" w:rsidRPr="00805C22">
              <w:rPr>
                <w:webHidden/>
              </w:rPr>
              <w:fldChar w:fldCharType="end"/>
            </w:r>
          </w:hyperlink>
        </w:p>
        <w:p w14:paraId="777B4D74" w14:textId="0613773C" w:rsidR="00F70AD5" w:rsidRPr="00805C22" w:rsidRDefault="006E191C" w:rsidP="003C58C0">
          <w:pPr>
            <w:pStyle w:val="TOC2"/>
            <w:spacing w:line="360" w:lineRule="auto"/>
            <w:rPr>
              <w:rFonts w:eastAsiaTheme="minorEastAsia"/>
              <w:kern w:val="2"/>
              <w:lang w:val="en-US"/>
              <w14:ligatures w14:val="standardContextual"/>
            </w:rPr>
          </w:pPr>
          <w:hyperlink w:anchor="_Toc147242433" w:history="1">
            <w:r w:rsidR="00F70AD5" w:rsidRPr="00805C22">
              <w:rPr>
                <w:rStyle w:val="Hyperlink"/>
                <w:rFonts w:ascii="Open Sans" w:hAnsi="Open Sans" w:cs="Open Sans"/>
                <w:szCs w:val="24"/>
              </w:rPr>
              <w:t>1 PROJECT GENERATION PROCESS</w:t>
            </w:r>
            <w:r w:rsidR="00F70AD5" w:rsidRPr="00805C22">
              <w:rPr>
                <w:webHidden/>
              </w:rPr>
              <w:tab/>
            </w:r>
            <w:r w:rsidR="00F70AD5" w:rsidRPr="00805C22">
              <w:rPr>
                <w:webHidden/>
              </w:rPr>
              <w:fldChar w:fldCharType="begin"/>
            </w:r>
            <w:r w:rsidR="00F70AD5" w:rsidRPr="00805C22">
              <w:rPr>
                <w:webHidden/>
              </w:rPr>
              <w:instrText xml:space="preserve"> PAGEREF _Toc147242433 \h </w:instrText>
            </w:r>
            <w:r w:rsidR="00F70AD5" w:rsidRPr="00805C22">
              <w:rPr>
                <w:webHidden/>
              </w:rPr>
            </w:r>
            <w:r w:rsidR="00F70AD5" w:rsidRPr="00805C22">
              <w:rPr>
                <w:webHidden/>
              </w:rPr>
              <w:fldChar w:fldCharType="separate"/>
            </w:r>
            <w:r>
              <w:rPr>
                <w:webHidden/>
              </w:rPr>
              <w:t>137</w:t>
            </w:r>
            <w:r w:rsidR="00F70AD5" w:rsidRPr="00805C22">
              <w:rPr>
                <w:webHidden/>
              </w:rPr>
              <w:fldChar w:fldCharType="end"/>
            </w:r>
          </w:hyperlink>
        </w:p>
        <w:p w14:paraId="50575A5E" w14:textId="18845E0B" w:rsidR="00F70AD5" w:rsidRPr="00805C22" w:rsidRDefault="006E191C" w:rsidP="003C58C0">
          <w:pPr>
            <w:pStyle w:val="TOC3"/>
            <w:spacing w:line="360" w:lineRule="auto"/>
            <w:rPr>
              <w:rFonts w:eastAsiaTheme="minorEastAsia"/>
              <w:kern w:val="2"/>
              <w:lang w:val="en-US"/>
              <w14:ligatures w14:val="standardContextual"/>
            </w:rPr>
          </w:pPr>
          <w:hyperlink w:anchor="_Toc147242434" w:history="1">
            <w:r w:rsidR="00F70AD5" w:rsidRPr="00805C22">
              <w:rPr>
                <w:rStyle w:val="Hyperlink"/>
                <w:rFonts w:ascii="Open Sans" w:hAnsi="Open Sans" w:cs="Open Sans"/>
                <w:szCs w:val="24"/>
              </w:rPr>
              <w:t>1.1 Preparation and submission of the project proposal</w:t>
            </w:r>
            <w:r w:rsidR="00F70AD5" w:rsidRPr="00805C22">
              <w:rPr>
                <w:webHidden/>
              </w:rPr>
              <w:tab/>
            </w:r>
            <w:r w:rsidR="00F70AD5" w:rsidRPr="00805C22">
              <w:rPr>
                <w:webHidden/>
              </w:rPr>
              <w:fldChar w:fldCharType="begin"/>
            </w:r>
            <w:r w:rsidR="00F70AD5" w:rsidRPr="00805C22">
              <w:rPr>
                <w:webHidden/>
              </w:rPr>
              <w:instrText xml:space="preserve"> PAGEREF _Toc147242434 \h </w:instrText>
            </w:r>
            <w:r w:rsidR="00F70AD5" w:rsidRPr="00805C22">
              <w:rPr>
                <w:webHidden/>
              </w:rPr>
            </w:r>
            <w:r w:rsidR="00F70AD5" w:rsidRPr="00805C22">
              <w:rPr>
                <w:webHidden/>
              </w:rPr>
              <w:fldChar w:fldCharType="separate"/>
            </w:r>
            <w:r>
              <w:rPr>
                <w:webHidden/>
              </w:rPr>
              <w:t>137</w:t>
            </w:r>
            <w:r w:rsidR="00F70AD5" w:rsidRPr="00805C22">
              <w:rPr>
                <w:webHidden/>
              </w:rPr>
              <w:fldChar w:fldCharType="end"/>
            </w:r>
          </w:hyperlink>
        </w:p>
        <w:p w14:paraId="4232B279" w14:textId="2CAB2D73" w:rsidR="00F70AD5" w:rsidRPr="00805C22" w:rsidRDefault="006E191C" w:rsidP="003C58C0">
          <w:pPr>
            <w:pStyle w:val="TOC3"/>
            <w:spacing w:line="360" w:lineRule="auto"/>
            <w:rPr>
              <w:rFonts w:eastAsiaTheme="minorEastAsia"/>
              <w:kern w:val="2"/>
              <w:lang w:val="en-US"/>
              <w14:ligatures w14:val="standardContextual"/>
            </w:rPr>
          </w:pPr>
          <w:hyperlink w:anchor="_Toc147242435" w:history="1">
            <w:r w:rsidR="00F70AD5" w:rsidRPr="00805C22">
              <w:rPr>
                <w:rStyle w:val="Hyperlink"/>
                <w:rFonts w:ascii="Open Sans" w:hAnsi="Open Sans" w:cs="Open Sans"/>
                <w:szCs w:val="24"/>
              </w:rPr>
              <w:t>1.2 Programme services</w:t>
            </w:r>
            <w:r w:rsidR="00F70AD5" w:rsidRPr="00805C22">
              <w:rPr>
                <w:webHidden/>
              </w:rPr>
              <w:tab/>
            </w:r>
            <w:r w:rsidR="00F70AD5" w:rsidRPr="00805C22">
              <w:rPr>
                <w:webHidden/>
              </w:rPr>
              <w:fldChar w:fldCharType="begin"/>
            </w:r>
            <w:r w:rsidR="00F70AD5" w:rsidRPr="00805C22">
              <w:rPr>
                <w:webHidden/>
              </w:rPr>
              <w:instrText xml:space="preserve"> PAGEREF _Toc147242435 \h </w:instrText>
            </w:r>
            <w:r w:rsidR="00F70AD5" w:rsidRPr="00805C22">
              <w:rPr>
                <w:webHidden/>
              </w:rPr>
            </w:r>
            <w:r w:rsidR="00F70AD5" w:rsidRPr="00805C22">
              <w:rPr>
                <w:webHidden/>
              </w:rPr>
              <w:fldChar w:fldCharType="separate"/>
            </w:r>
            <w:r>
              <w:rPr>
                <w:webHidden/>
              </w:rPr>
              <w:t>139</w:t>
            </w:r>
            <w:r w:rsidR="00F70AD5" w:rsidRPr="00805C22">
              <w:rPr>
                <w:webHidden/>
              </w:rPr>
              <w:fldChar w:fldCharType="end"/>
            </w:r>
          </w:hyperlink>
        </w:p>
        <w:p w14:paraId="2DF59C22" w14:textId="6E237F5B" w:rsidR="00F70AD5" w:rsidRPr="00805C22" w:rsidRDefault="006E191C" w:rsidP="003C58C0">
          <w:pPr>
            <w:pStyle w:val="TOC2"/>
            <w:spacing w:line="360" w:lineRule="auto"/>
            <w:rPr>
              <w:rFonts w:eastAsiaTheme="minorEastAsia"/>
              <w:kern w:val="2"/>
              <w:lang w:val="en-US"/>
              <w14:ligatures w14:val="standardContextual"/>
            </w:rPr>
          </w:pPr>
          <w:hyperlink w:anchor="_Toc147242436" w:history="1">
            <w:r w:rsidR="00F70AD5" w:rsidRPr="00805C22">
              <w:rPr>
                <w:rStyle w:val="Hyperlink"/>
                <w:rFonts w:ascii="Open Sans" w:hAnsi="Open Sans" w:cs="Open Sans"/>
                <w:szCs w:val="24"/>
              </w:rPr>
              <w:t>2 CENTRAL INFORMATION AND COMMUNICATION TECHNOLOGY SYSTEM 2021</w:t>
            </w:r>
            <w:r w:rsidR="00F70AD5" w:rsidRPr="00805C22">
              <w:rPr>
                <w:webHidden/>
              </w:rPr>
              <w:tab/>
            </w:r>
            <w:r w:rsidR="00F70AD5" w:rsidRPr="00805C22">
              <w:rPr>
                <w:webHidden/>
              </w:rPr>
              <w:fldChar w:fldCharType="begin"/>
            </w:r>
            <w:r w:rsidR="00F70AD5" w:rsidRPr="00805C22">
              <w:rPr>
                <w:webHidden/>
              </w:rPr>
              <w:instrText xml:space="preserve"> PAGEREF _Toc147242436 \h </w:instrText>
            </w:r>
            <w:r w:rsidR="00F70AD5" w:rsidRPr="00805C22">
              <w:rPr>
                <w:webHidden/>
              </w:rPr>
            </w:r>
            <w:r w:rsidR="00F70AD5" w:rsidRPr="00805C22">
              <w:rPr>
                <w:webHidden/>
              </w:rPr>
              <w:fldChar w:fldCharType="separate"/>
            </w:r>
            <w:r>
              <w:rPr>
                <w:webHidden/>
              </w:rPr>
              <w:t>140</w:t>
            </w:r>
            <w:r w:rsidR="00F70AD5" w:rsidRPr="00805C22">
              <w:rPr>
                <w:webHidden/>
              </w:rPr>
              <w:fldChar w:fldCharType="end"/>
            </w:r>
          </w:hyperlink>
        </w:p>
        <w:p w14:paraId="42738577" w14:textId="58416288" w:rsidR="00F70AD5" w:rsidRPr="00805C22" w:rsidRDefault="006E191C" w:rsidP="003C58C0">
          <w:pPr>
            <w:pStyle w:val="TOC3"/>
            <w:spacing w:line="360" w:lineRule="auto"/>
            <w:rPr>
              <w:rFonts w:eastAsiaTheme="minorEastAsia"/>
              <w:kern w:val="2"/>
              <w:lang w:val="en-US"/>
              <w14:ligatures w14:val="standardContextual"/>
            </w:rPr>
          </w:pPr>
          <w:hyperlink w:anchor="_Toc147242437" w:history="1">
            <w:r w:rsidR="00F70AD5" w:rsidRPr="00805C22">
              <w:rPr>
                <w:rStyle w:val="Hyperlink"/>
                <w:rFonts w:ascii="Open Sans" w:hAnsi="Open Sans" w:cs="Open Sans"/>
                <w:szCs w:val="24"/>
              </w:rPr>
              <w:t>2.1 CST2021 Definition</w:t>
            </w:r>
            <w:r w:rsidR="00F70AD5" w:rsidRPr="00805C22">
              <w:rPr>
                <w:webHidden/>
              </w:rPr>
              <w:tab/>
            </w:r>
            <w:r w:rsidR="00F70AD5" w:rsidRPr="00805C22">
              <w:rPr>
                <w:webHidden/>
              </w:rPr>
              <w:fldChar w:fldCharType="begin"/>
            </w:r>
            <w:r w:rsidR="00F70AD5" w:rsidRPr="00805C22">
              <w:rPr>
                <w:webHidden/>
              </w:rPr>
              <w:instrText xml:space="preserve"> PAGEREF _Toc147242437 \h </w:instrText>
            </w:r>
            <w:r w:rsidR="00F70AD5" w:rsidRPr="00805C22">
              <w:rPr>
                <w:webHidden/>
              </w:rPr>
            </w:r>
            <w:r w:rsidR="00F70AD5" w:rsidRPr="00805C22">
              <w:rPr>
                <w:webHidden/>
              </w:rPr>
              <w:fldChar w:fldCharType="separate"/>
            </w:r>
            <w:r>
              <w:rPr>
                <w:webHidden/>
              </w:rPr>
              <w:t>140</w:t>
            </w:r>
            <w:r w:rsidR="00F70AD5" w:rsidRPr="00805C22">
              <w:rPr>
                <w:webHidden/>
              </w:rPr>
              <w:fldChar w:fldCharType="end"/>
            </w:r>
          </w:hyperlink>
        </w:p>
        <w:p w14:paraId="64D3FA26" w14:textId="13AEC2A8" w:rsidR="00F70AD5" w:rsidRPr="00805C22" w:rsidRDefault="006E191C" w:rsidP="003C58C0">
          <w:pPr>
            <w:pStyle w:val="TOC3"/>
            <w:spacing w:line="360" w:lineRule="auto"/>
            <w:rPr>
              <w:rFonts w:eastAsiaTheme="minorEastAsia"/>
              <w:kern w:val="2"/>
              <w:lang w:val="en-US"/>
              <w14:ligatures w14:val="standardContextual"/>
            </w:rPr>
          </w:pPr>
          <w:hyperlink w:anchor="_Toc147242438" w:history="1">
            <w:r w:rsidR="00F70AD5" w:rsidRPr="00805C22">
              <w:rPr>
                <w:rStyle w:val="Hyperlink"/>
                <w:rFonts w:ascii="Open Sans" w:hAnsi="Open Sans" w:cs="Open Sans"/>
                <w:szCs w:val="24"/>
              </w:rPr>
              <w:t>2.2 Application included in CST2021</w:t>
            </w:r>
            <w:r w:rsidR="00F70AD5" w:rsidRPr="00805C22">
              <w:rPr>
                <w:webHidden/>
              </w:rPr>
              <w:tab/>
            </w:r>
            <w:r w:rsidR="00F70AD5" w:rsidRPr="00805C22">
              <w:rPr>
                <w:webHidden/>
              </w:rPr>
              <w:fldChar w:fldCharType="begin"/>
            </w:r>
            <w:r w:rsidR="00F70AD5" w:rsidRPr="00805C22">
              <w:rPr>
                <w:webHidden/>
              </w:rPr>
              <w:instrText xml:space="preserve"> PAGEREF _Toc147242438 \h </w:instrText>
            </w:r>
            <w:r w:rsidR="00F70AD5" w:rsidRPr="00805C22">
              <w:rPr>
                <w:webHidden/>
              </w:rPr>
            </w:r>
            <w:r w:rsidR="00F70AD5" w:rsidRPr="00805C22">
              <w:rPr>
                <w:webHidden/>
              </w:rPr>
              <w:fldChar w:fldCharType="separate"/>
            </w:r>
            <w:r>
              <w:rPr>
                <w:webHidden/>
              </w:rPr>
              <w:t>141</w:t>
            </w:r>
            <w:r w:rsidR="00F70AD5" w:rsidRPr="00805C22">
              <w:rPr>
                <w:webHidden/>
              </w:rPr>
              <w:fldChar w:fldCharType="end"/>
            </w:r>
          </w:hyperlink>
        </w:p>
        <w:p w14:paraId="33306E6E" w14:textId="4FEECF40" w:rsidR="00F70AD5" w:rsidRPr="00805C22" w:rsidRDefault="006E191C" w:rsidP="003C58C0">
          <w:pPr>
            <w:pStyle w:val="TOC3"/>
            <w:spacing w:line="360" w:lineRule="auto"/>
            <w:rPr>
              <w:rFonts w:eastAsiaTheme="minorEastAsia"/>
              <w:kern w:val="2"/>
              <w:lang w:val="en-US"/>
              <w14:ligatures w14:val="standardContextual"/>
            </w:rPr>
          </w:pPr>
          <w:hyperlink w:anchor="_Toc147242439" w:history="1">
            <w:r w:rsidR="00F70AD5" w:rsidRPr="00805C22">
              <w:rPr>
                <w:rStyle w:val="Hyperlink"/>
                <w:rFonts w:ascii="Open Sans" w:hAnsi="Open Sans" w:cs="Open Sans"/>
                <w:szCs w:val="24"/>
              </w:rPr>
              <w:t>2.3 CST2021 Architecture</w:t>
            </w:r>
            <w:r w:rsidR="00F70AD5" w:rsidRPr="00805C22">
              <w:rPr>
                <w:webHidden/>
              </w:rPr>
              <w:tab/>
            </w:r>
            <w:r w:rsidR="00F70AD5" w:rsidRPr="00805C22">
              <w:rPr>
                <w:webHidden/>
              </w:rPr>
              <w:fldChar w:fldCharType="begin"/>
            </w:r>
            <w:r w:rsidR="00F70AD5" w:rsidRPr="00805C22">
              <w:rPr>
                <w:webHidden/>
              </w:rPr>
              <w:instrText xml:space="preserve"> PAGEREF _Toc147242439 \h </w:instrText>
            </w:r>
            <w:r w:rsidR="00F70AD5" w:rsidRPr="00805C22">
              <w:rPr>
                <w:webHidden/>
              </w:rPr>
            </w:r>
            <w:r w:rsidR="00F70AD5" w:rsidRPr="00805C22">
              <w:rPr>
                <w:webHidden/>
              </w:rPr>
              <w:fldChar w:fldCharType="separate"/>
            </w:r>
            <w:r>
              <w:rPr>
                <w:webHidden/>
              </w:rPr>
              <w:t>142</w:t>
            </w:r>
            <w:r w:rsidR="00F70AD5" w:rsidRPr="00805C22">
              <w:rPr>
                <w:webHidden/>
              </w:rPr>
              <w:fldChar w:fldCharType="end"/>
            </w:r>
          </w:hyperlink>
        </w:p>
        <w:p w14:paraId="640937A4" w14:textId="494278AC" w:rsidR="00F70AD5" w:rsidRPr="00805C22" w:rsidRDefault="006E191C" w:rsidP="003C58C0">
          <w:pPr>
            <w:pStyle w:val="TOC3"/>
            <w:spacing w:line="360" w:lineRule="auto"/>
            <w:rPr>
              <w:rFonts w:eastAsiaTheme="minorEastAsia"/>
              <w:kern w:val="2"/>
              <w:lang w:val="en-US"/>
              <w14:ligatures w14:val="standardContextual"/>
            </w:rPr>
          </w:pPr>
          <w:hyperlink w:anchor="_Toc147242440" w:history="1">
            <w:r w:rsidR="00F70AD5" w:rsidRPr="00805C22">
              <w:rPr>
                <w:rStyle w:val="Hyperlink"/>
                <w:rFonts w:ascii="Open Sans" w:hAnsi="Open Sans" w:cs="Open Sans"/>
                <w:szCs w:val="24"/>
              </w:rPr>
              <w:t>2.4 CST2021 Data assessment</w:t>
            </w:r>
            <w:r w:rsidR="00F70AD5" w:rsidRPr="00805C22">
              <w:rPr>
                <w:webHidden/>
              </w:rPr>
              <w:tab/>
            </w:r>
            <w:r w:rsidR="00F70AD5" w:rsidRPr="00805C22">
              <w:rPr>
                <w:webHidden/>
              </w:rPr>
              <w:fldChar w:fldCharType="begin"/>
            </w:r>
            <w:r w:rsidR="00F70AD5" w:rsidRPr="00805C22">
              <w:rPr>
                <w:webHidden/>
              </w:rPr>
              <w:instrText xml:space="preserve"> PAGEREF _Toc147242440 \h </w:instrText>
            </w:r>
            <w:r w:rsidR="00F70AD5" w:rsidRPr="00805C22">
              <w:rPr>
                <w:webHidden/>
              </w:rPr>
            </w:r>
            <w:r w:rsidR="00F70AD5" w:rsidRPr="00805C22">
              <w:rPr>
                <w:webHidden/>
              </w:rPr>
              <w:fldChar w:fldCharType="separate"/>
            </w:r>
            <w:r>
              <w:rPr>
                <w:webHidden/>
              </w:rPr>
              <w:t>142</w:t>
            </w:r>
            <w:r w:rsidR="00F70AD5" w:rsidRPr="00805C22">
              <w:rPr>
                <w:webHidden/>
              </w:rPr>
              <w:fldChar w:fldCharType="end"/>
            </w:r>
          </w:hyperlink>
        </w:p>
        <w:p w14:paraId="50A88BEF" w14:textId="56AED709" w:rsidR="00F70AD5" w:rsidRPr="00805C22" w:rsidRDefault="006E191C" w:rsidP="003C58C0">
          <w:pPr>
            <w:pStyle w:val="TOC3"/>
            <w:spacing w:line="360" w:lineRule="auto"/>
            <w:rPr>
              <w:rFonts w:eastAsiaTheme="minorEastAsia"/>
              <w:kern w:val="2"/>
              <w:lang w:val="en-US"/>
              <w14:ligatures w14:val="standardContextual"/>
            </w:rPr>
          </w:pPr>
          <w:hyperlink w:anchor="_Toc147242441" w:history="1">
            <w:r w:rsidR="00F70AD5" w:rsidRPr="00805C22">
              <w:rPr>
                <w:rStyle w:val="Hyperlink"/>
                <w:rFonts w:ascii="Open Sans" w:hAnsi="Open Sans" w:cs="Open Sans"/>
                <w:szCs w:val="24"/>
              </w:rPr>
              <w:t>2.5 CST2021 Work Guidelines</w:t>
            </w:r>
            <w:r w:rsidR="00F70AD5" w:rsidRPr="00805C22">
              <w:rPr>
                <w:webHidden/>
              </w:rPr>
              <w:tab/>
            </w:r>
            <w:r w:rsidR="00F70AD5" w:rsidRPr="00805C22">
              <w:rPr>
                <w:webHidden/>
              </w:rPr>
              <w:fldChar w:fldCharType="begin"/>
            </w:r>
            <w:r w:rsidR="00F70AD5" w:rsidRPr="00805C22">
              <w:rPr>
                <w:webHidden/>
              </w:rPr>
              <w:instrText xml:space="preserve"> PAGEREF _Toc147242441 \h </w:instrText>
            </w:r>
            <w:r w:rsidR="00F70AD5" w:rsidRPr="00805C22">
              <w:rPr>
                <w:webHidden/>
              </w:rPr>
            </w:r>
            <w:r w:rsidR="00F70AD5" w:rsidRPr="00805C22">
              <w:rPr>
                <w:webHidden/>
              </w:rPr>
              <w:fldChar w:fldCharType="separate"/>
            </w:r>
            <w:r>
              <w:rPr>
                <w:webHidden/>
              </w:rPr>
              <w:t>143</w:t>
            </w:r>
            <w:r w:rsidR="00F70AD5" w:rsidRPr="00805C22">
              <w:rPr>
                <w:webHidden/>
              </w:rPr>
              <w:fldChar w:fldCharType="end"/>
            </w:r>
          </w:hyperlink>
        </w:p>
        <w:p w14:paraId="6D0D253D" w14:textId="185473C5" w:rsidR="00F70AD5" w:rsidRPr="00805C22" w:rsidRDefault="006E191C" w:rsidP="003C58C0">
          <w:pPr>
            <w:pStyle w:val="TOC2"/>
            <w:spacing w:line="360" w:lineRule="auto"/>
            <w:rPr>
              <w:rFonts w:eastAsiaTheme="minorEastAsia"/>
              <w:kern w:val="2"/>
              <w:lang w:val="en-US"/>
              <w14:ligatures w14:val="standardContextual"/>
            </w:rPr>
          </w:pPr>
          <w:hyperlink w:anchor="_Toc147242442" w:history="1">
            <w:r w:rsidR="00F70AD5" w:rsidRPr="00805C22">
              <w:rPr>
                <w:rStyle w:val="Hyperlink"/>
                <w:rFonts w:ascii="Open Sans" w:hAnsi="Open Sans" w:cs="Open Sans"/>
                <w:szCs w:val="24"/>
              </w:rPr>
              <w:t>3 CALLS FOR PROPOSALS</w:t>
            </w:r>
            <w:r w:rsidR="00F70AD5" w:rsidRPr="00805C22">
              <w:rPr>
                <w:webHidden/>
              </w:rPr>
              <w:tab/>
            </w:r>
            <w:r w:rsidR="00F70AD5" w:rsidRPr="00805C22">
              <w:rPr>
                <w:webHidden/>
              </w:rPr>
              <w:fldChar w:fldCharType="begin"/>
            </w:r>
            <w:r w:rsidR="00F70AD5" w:rsidRPr="00805C22">
              <w:rPr>
                <w:webHidden/>
              </w:rPr>
              <w:instrText xml:space="preserve"> PAGEREF _Toc147242442 \h </w:instrText>
            </w:r>
            <w:r w:rsidR="00F70AD5" w:rsidRPr="00805C22">
              <w:rPr>
                <w:webHidden/>
              </w:rPr>
            </w:r>
            <w:r w:rsidR="00F70AD5" w:rsidRPr="00805C22">
              <w:rPr>
                <w:webHidden/>
              </w:rPr>
              <w:fldChar w:fldCharType="separate"/>
            </w:r>
            <w:r>
              <w:rPr>
                <w:webHidden/>
              </w:rPr>
              <w:t>143</w:t>
            </w:r>
            <w:r w:rsidR="00F70AD5" w:rsidRPr="00805C22">
              <w:rPr>
                <w:webHidden/>
              </w:rPr>
              <w:fldChar w:fldCharType="end"/>
            </w:r>
          </w:hyperlink>
        </w:p>
        <w:p w14:paraId="2C5A9810" w14:textId="7DB75BAC" w:rsidR="00F70AD5" w:rsidRPr="00805C22" w:rsidRDefault="006E191C" w:rsidP="003C58C0">
          <w:pPr>
            <w:pStyle w:val="TOC2"/>
            <w:spacing w:line="360" w:lineRule="auto"/>
            <w:rPr>
              <w:rFonts w:eastAsiaTheme="minorEastAsia"/>
              <w:kern w:val="2"/>
              <w:lang w:val="en-US"/>
              <w14:ligatures w14:val="standardContextual"/>
            </w:rPr>
          </w:pPr>
          <w:hyperlink w:anchor="_Toc147242443" w:history="1">
            <w:r w:rsidR="00F70AD5" w:rsidRPr="00805C22">
              <w:rPr>
                <w:rStyle w:val="Hyperlink"/>
                <w:rFonts w:ascii="Open Sans" w:hAnsi="Open Sans" w:cs="Open Sans"/>
                <w:szCs w:val="24"/>
              </w:rPr>
              <w:t>4 APPLICATION PACKAGE AND SUBMISSION OF APPLICATIONS</w:t>
            </w:r>
            <w:r w:rsidR="00F70AD5" w:rsidRPr="00805C22">
              <w:rPr>
                <w:webHidden/>
              </w:rPr>
              <w:tab/>
            </w:r>
            <w:r w:rsidR="00F70AD5" w:rsidRPr="00805C22">
              <w:rPr>
                <w:webHidden/>
              </w:rPr>
              <w:fldChar w:fldCharType="begin"/>
            </w:r>
            <w:r w:rsidR="00F70AD5" w:rsidRPr="00805C22">
              <w:rPr>
                <w:webHidden/>
              </w:rPr>
              <w:instrText xml:space="preserve"> PAGEREF _Toc147242443 \h </w:instrText>
            </w:r>
            <w:r w:rsidR="00F70AD5" w:rsidRPr="00805C22">
              <w:rPr>
                <w:webHidden/>
              </w:rPr>
            </w:r>
            <w:r w:rsidR="00F70AD5" w:rsidRPr="00805C22">
              <w:rPr>
                <w:webHidden/>
              </w:rPr>
              <w:fldChar w:fldCharType="separate"/>
            </w:r>
            <w:r>
              <w:rPr>
                <w:webHidden/>
              </w:rPr>
              <w:t>144</w:t>
            </w:r>
            <w:r w:rsidR="00F70AD5" w:rsidRPr="00805C22">
              <w:rPr>
                <w:webHidden/>
              </w:rPr>
              <w:fldChar w:fldCharType="end"/>
            </w:r>
          </w:hyperlink>
        </w:p>
        <w:p w14:paraId="2A885DE1" w14:textId="339DFD7A" w:rsidR="00F70AD5" w:rsidRPr="00805C22" w:rsidRDefault="006E191C" w:rsidP="003C58C0">
          <w:pPr>
            <w:pStyle w:val="TOC3"/>
            <w:spacing w:line="360" w:lineRule="auto"/>
            <w:rPr>
              <w:rFonts w:eastAsiaTheme="minorEastAsia"/>
              <w:kern w:val="2"/>
              <w:lang w:val="en-US"/>
              <w14:ligatures w14:val="standardContextual"/>
            </w:rPr>
          </w:pPr>
          <w:hyperlink w:anchor="_Toc147242444" w:history="1">
            <w:r w:rsidR="00F70AD5" w:rsidRPr="00805C22">
              <w:rPr>
                <w:rStyle w:val="Hyperlink"/>
                <w:rFonts w:ascii="Open Sans" w:hAnsi="Open Sans" w:cs="Open Sans"/>
                <w:szCs w:val="24"/>
              </w:rPr>
              <w:t>4.1 General Information</w:t>
            </w:r>
            <w:r w:rsidR="00F70AD5" w:rsidRPr="00805C22">
              <w:rPr>
                <w:webHidden/>
              </w:rPr>
              <w:tab/>
            </w:r>
            <w:r w:rsidR="00F70AD5" w:rsidRPr="00805C22">
              <w:rPr>
                <w:webHidden/>
              </w:rPr>
              <w:fldChar w:fldCharType="begin"/>
            </w:r>
            <w:r w:rsidR="00F70AD5" w:rsidRPr="00805C22">
              <w:rPr>
                <w:webHidden/>
              </w:rPr>
              <w:instrText xml:space="preserve"> PAGEREF _Toc147242444 \h </w:instrText>
            </w:r>
            <w:r w:rsidR="00F70AD5" w:rsidRPr="00805C22">
              <w:rPr>
                <w:webHidden/>
              </w:rPr>
            </w:r>
            <w:r w:rsidR="00F70AD5" w:rsidRPr="00805C22">
              <w:rPr>
                <w:webHidden/>
              </w:rPr>
              <w:fldChar w:fldCharType="separate"/>
            </w:r>
            <w:r>
              <w:rPr>
                <w:webHidden/>
              </w:rPr>
              <w:t>144</w:t>
            </w:r>
            <w:r w:rsidR="00F70AD5" w:rsidRPr="00805C22">
              <w:rPr>
                <w:webHidden/>
              </w:rPr>
              <w:fldChar w:fldCharType="end"/>
            </w:r>
          </w:hyperlink>
        </w:p>
        <w:p w14:paraId="4C863FD4" w14:textId="7FB3930D" w:rsidR="00F70AD5" w:rsidRPr="00805C22" w:rsidRDefault="006E191C" w:rsidP="003C58C0">
          <w:pPr>
            <w:pStyle w:val="TOC3"/>
            <w:spacing w:line="360" w:lineRule="auto"/>
            <w:rPr>
              <w:rFonts w:eastAsiaTheme="minorEastAsia"/>
              <w:kern w:val="2"/>
              <w:lang w:val="en-US"/>
              <w14:ligatures w14:val="standardContextual"/>
            </w:rPr>
          </w:pPr>
          <w:hyperlink w:anchor="_Toc147242445" w:history="1">
            <w:r w:rsidR="00F70AD5" w:rsidRPr="00805C22">
              <w:rPr>
                <w:rStyle w:val="Hyperlink"/>
                <w:rFonts w:ascii="Open Sans" w:hAnsi="Open Sans" w:cs="Open Sans"/>
                <w:szCs w:val="24"/>
              </w:rPr>
              <w:t>4.2 Submission of the Application</w:t>
            </w:r>
            <w:r w:rsidR="00F70AD5" w:rsidRPr="00805C22">
              <w:rPr>
                <w:webHidden/>
              </w:rPr>
              <w:tab/>
            </w:r>
            <w:r w:rsidR="00F70AD5" w:rsidRPr="00805C22">
              <w:rPr>
                <w:webHidden/>
              </w:rPr>
              <w:fldChar w:fldCharType="begin"/>
            </w:r>
            <w:r w:rsidR="00F70AD5" w:rsidRPr="00805C22">
              <w:rPr>
                <w:webHidden/>
              </w:rPr>
              <w:instrText xml:space="preserve"> PAGEREF _Toc147242445 \h </w:instrText>
            </w:r>
            <w:r w:rsidR="00F70AD5" w:rsidRPr="00805C22">
              <w:rPr>
                <w:webHidden/>
              </w:rPr>
            </w:r>
            <w:r w:rsidR="00F70AD5" w:rsidRPr="00805C22">
              <w:rPr>
                <w:webHidden/>
              </w:rPr>
              <w:fldChar w:fldCharType="separate"/>
            </w:r>
            <w:r>
              <w:rPr>
                <w:webHidden/>
              </w:rPr>
              <w:t>145</w:t>
            </w:r>
            <w:r w:rsidR="00F70AD5" w:rsidRPr="00805C22">
              <w:rPr>
                <w:webHidden/>
              </w:rPr>
              <w:fldChar w:fldCharType="end"/>
            </w:r>
          </w:hyperlink>
        </w:p>
        <w:p w14:paraId="554B7F9B" w14:textId="29130D3F" w:rsidR="00F70AD5" w:rsidRPr="00805C22" w:rsidRDefault="006E191C" w:rsidP="003C58C0">
          <w:pPr>
            <w:pStyle w:val="TOC2"/>
            <w:spacing w:line="360" w:lineRule="auto"/>
            <w:rPr>
              <w:rFonts w:eastAsiaTheme="minorEastAsia"/>
              <w:kern w:val="2"/>
              <w:lang w:val="en-US"/>
              <w14:ligatures w14:val="standardContextual"/>
            </w:rPr>
          </w:pPr>
          <w:hyperlink w:anchor="_Toc147242446" w:history="1">
            <w:r w:rsidR="00F70AD5" w:rsidRPr="00805C22">
              <w:rPr>
                <w:rStyle w:val="Hyperlink"/>
                <w:rFonts w:ascii="Open Sans" w:hAnsi="Open Sans" w:cs="Open Sans"/>
                <w:szCs w:val="24"/>
              </w:rPr>
              <w:t>5 ASSESSMENT OF APPLICATIONS</w:t>
            </w:r>
            <w:r w:rsidR="00F70AD5" w:rsidRPr="00805C22">
              <w:rPr>
                <w:webHidden/>
              </w:rPr>
              <w:tab/>
            </w:r>
            <w:r w:rsidR="00F70AD5" w:rsidRPr="00805C22">
              <w:rPr>
                <w:webHidden/>
              </w:rPr>
              <w:fldChar w:fldCharType="begin"/>
            </w:r>
            <w:r w:rsidR="00F70AD5" w:rsidRPr="00805C22">
              <w:rPr>
                <w:webHidden/>
              </w:rPr>
              <w:instrText xml:space="preserve"> PAGEREF _Toc147242446 \h </w:instrText>
            </w:r>
            <w:r w:rsidR="00F70AD5" w:rsidRPr="00805C22">
              <w:rPr>
                <w:webHidden/>
              </w:rPr>
            </w:r>
            <w:r w:rsidR="00F70AD5" w:rsidRPr="00805C22">
              <w:rPr>
                <w:webHidden/>
              </w:rPr>
              <w:fldChar w:fldCharType="separate"/>
            </w:r>
            <w:r>
              <w:rPr>
                <w:webHidden/>
              </w:rPr>
              <w:t>146</w:t>
            </w:r>
            <w:r w:rsidR="00F70AD5" w:rsidRPr="00805C22">
              <w:rPr>
                <w:webHidden/>
              </w:rPr>
              <w:fldChar w:fldCharType="end"/>
            </w:r>
          </w:hyperlink>
        </w:p>
        <w:p w14:paraId="4C6B441C" w14:textId="4353392F" w:rsidR="00F70AD5" w:rsidRPr="00805C22" w:rsidRDefault="006E191C" w:rsidP="003C58C0">
          <w:pPr>
            <w:pStyle w:val="TOC2"/>
            <w:spacing w:line="360" w:lineRule="auto"/>
            <w:rPr>
              <w:rFonts w:eastAsiaTheme="minorEastAsia"/>
              <w:kern w:val="2"/>
              <w:lang w:val="en-US"/>
              <w14:ligatures w14:val="standardContextual"/>
            </w:rPr>
          </w:pPr>
          <w:hyperlink w:anchor="_Toc147242447" w:history="1">
            <w:r w:rsidR="00F70AD5" w:rsidRPr="00805C22">
              <w:rPr>
                <w:rStyle w:val="Hyperlink"/>
                <w:rFonts w:ascii="Open Sans" w:hAnsi="Open Sans" w:cs="Open Sans"/>
                <w:szCs w:val="24"/>
              </w:rPr>
              <w:t>6 SELECTION OF PROJECTS AND COMPLAINTS PROCEDURE</w:t>
            </w:r>
            <w:r w:rsidR="00F70AD5" w:rsidRPr="00805C22">
              <w:rPr>
                <w:webHidden/>
              </w:rPr>
              <w:tab/>
            </w:r>
            <w:r w:rsidR="00F70AD5" w:rsidRPr="00805C22">
              <w:rPr>
                <w:webHidden/>
              </w:rPr>
              <w:fldChar w:fldCharType="begin"/>
            </w:r>
            <w:r w:rsidR="00F70AD5" w:rsidRPr="00805C22">
              <w:rPr>
                <w:webHidden/>
              </w:rPr>
              <w:instrText xml:space="preserve"> PAGEREF _Toc147242447 \h </w:instrText>
            </w:r>
            <w:r w:rsidR="00F70AD5" w:rsidRPr="00805C22">
              <w:rPr>
                <w:webHidden/>
              </w:rPr>
            </w:r>
            <w:r w:rsidR="00F70AD5" w:rsidRPr="00805C22">
              <w:rPr>
                <w:webHidden/>
              </w:rPr>
              <w:fldChar w:fldCharType="separate"/>
            </w:r>
            <w:r>
              <w:rPr>
                <w:webHidden/>
              </w:rPr>
              <w:t>147</w:t>
            </w:r>
            <w:r w:rsidR="00F70AD5" w:rsidRPr="00805C22">
              <w:rPr>
                <w:webHidden/>
              </w:rPr>
              <w:fldChar w:fldCharType="end"/>
            </w:r>
          </w:hyperlink>
        </w:p>
        <w:p w14:paraId="4A20C81A" w14:textId="3A0793AC" w:rsidR="00F70AD5" w:rsidRPr="00805C22" w:rsidRDefault="006E191C" w:rsidP="003C58C0">
          <w:pPr>
            <w:pStyle w:val="TOC3"/>
            <w:spacing w:line="360" w:lineRule="auto"/>
            <w:rPr>
              <w:rFonts w:eastAsiaTheme="minorEastAsia"/>
              <w:kern w:val="2"/>
              <w:lang w:val="en-US"/>
              <w14:ligatures w14:val="standardContextual"/>
            </w:rPr>
          </w:pPr>
          <w:hyperlink w:anchor="_Toc147242448" w:history="1">
            <w:r w:rsidR="00F70AD5" w:rsidRPr="00805C22">
              <w:rPr>
                <w:rStyle w:val="Hyperlink"/>
                <w:rFonts w:ascii="Open Sans" w:hAnsi="Open Sans" w:cs="Open Sans"/>
                <w:szCs w:val="24"/>
              </w:rPr>
              <w:t>6.1 Selection</w:t>
            </w:r>
            <w:r w:rsidR="00F70AD5" w:rsidRPr="00805C22">
              <w:rPr>
                <w:webHidden/>
              </w:rPr>
              <w:tab/>
            </w:r>
            <w:r w:rsidR="00F70AD5" w:rsidRPr="00805C22">
              <w:rPr>
                <w:webHidden/>
              </w:rPr>
              <w:fldChar w:fldCharType="begin"/>
            </w:r>
            <w:r w:rsidR="00F70AD5" w:rsidRPr="00805C22">
              <w:rPr>
                <w:webHidden/>
              </w:rPr>
              <w:instrText xml:space="preserve"> PAGEREF _Toc147242448 \h </w:instrText>
            </w:r>
            <w:r w:rsidR="00F70AD5" w:rsidRPr="00805C22">
              <w:rPr>
                <w:webHidden/>
              </w:rPr>
            </w:r>
            <w:r w:rsidR="00F70AD5" w:rsidRPr="00805C22">
              <w:rPr>
                <w:webHidden/>
              </w:rPr>
              <w:fldChar w:fldCharType="separate"/>
            </w:r>
            <w:r>
              <w:rPr>
                <w:webHidden/>
              </w:rPr>
              <w:t>147</w:t>
            </w:r>
            <w:r w:rsidR="00F70AD5" w:rsidRPr="00805C22">
              <w:rPr>
                <w:webHidden/>
              </w:rPr>
              <w:fldChar w:fldCharType="end"/>
            </w:r>
          </w:hyperlink>
        </w:p>
        <w:p w14:paraId="66A976CB" w14:textId="0666A355" w:rsidR="00F70AD5" w:rsidRPr="00805C22" w:rsidRDefault="006E191C" w:rsidP="003C58C0">
          <w:pPr>
            <w:pStyle w:val="TOC3"/>
            <w:spacing w:line="360" w:lineRule="auto"/>
            <w:rPr>
              <w:rFonts w:eastAsiaTheme="minorEastAsia"/>
              <w:kern w:val="2"/>
              <w:lang w:val="en-US"/>
              <w14:ligatures w14:val="standardContextual"/>
            </w:rPr>
          </w:pPr>
          <w:hyperlink w:anchor="_Toc147242449" w:history="1">
            <w:r w:rsidR="00F70AD5" w:rsidRPr="00805C22">
              <w:rPr>
                <w:rStyle w:val="Hyperlink"/>
                <w:rFonts w:ascii="Open Sans" w:hAnsi="Open Sans" w:cs="Open Sans"/>
                <w:szCs w:val="24"/>
              </w:rPr>
              <w:t>6.2 Reserve list of projects</w:t>
            </w:r>
            <w:r w:rsidR="00F70AD5" w:rsidRPr="00805C22">
              <w:rPr>
                <w:webHidden/>
              </w:rPr>
              <w:tab/>
            </w:r>
            <w:r w:rsidR="00F70AD5" w:rsidRPr="00805C22">
              <w:rPr>
                <w:webHidden/>
              </w:rPr>
              <w:fldChar w:fldCharType="begin"/>
            </w:r>
            <w:r w:rsidR="00F70AD5" w:rsidRPr="00805C22">
              <w:rPr>
                <w:webHidden/>
              </w:rPr>
              <w:instrText xml:space="preserve"> PAGEREF _Toc147242449 \h </w:instrText>
            </w:r>
            <w:r w:rsidR="00F70AD5" w:rsidRPr="00805C22">
              <w:rPr>
                <w:webHidden/>
              </w:rPr>
            </w:r>
            <w:r w:rsidR="00F70AD5" w:rsidRPr="00805C22">
              <w:rPr>
                <w:webHidden/>
              </w:rPr>
              <w:fldChar w:fldCharType="separate"/>
            </w:r>
            <w:r>
              <w:rPr>
                <w:webHidden/>
              </w:rPr>
              <w:t>148</w:t>
            </w:r>
            <w:r w:rsidR="00F70AD5" w:rsidRPr="00805C22">
              <w:rPr>
                <w:webHidden/>
              </w:rPr>
              <w:fldChar w:fldCharType="end"/>
            </w:r>
          </w:hyperlink>
        </w:p>
        <w:p w14:paraId="0E3F326D" w14:textId="220DB4F1" w:rsidR="00F70AD5" w:rsidRPr="00805C22" w:rsidRDefault="006E191C" w:rsidP="003C58C0">
          <w:pPr>
            <w:pStyle w:val="TOC3"/>
            <w:spacing w:line="360" w:lineRule="auto"/>
            <w:rPr>
              <w:rFonts w:eastAsiaTheme="minorEastAsia"/>
              <w:kern w:val="2"/>
              <w:lang w:val="en-US"/>
              <w14:ligatures w14:val="standardContextual"/>
            </w:rPr>
          </w:pPr>
          <w:hyperlink w:anchor="_Toc147242450" w:history="1">
            <w:r w:rsidR="00F70AD5" w:rsidRPr="00805C22">
              <w:rPr>
                <w:rStyle w:val="Hyperlink"/>
                <w:rFonts w:ascii="Open Sans" w:hAnsi="Open Sans" w:cs="Open Sans"/>
                <w:szCs w:val="24"/>
              </w:rPr>
              <w:t>6.3 Complaints</w:t>
            </w:r>
            <w:r w:rsidR="00F70AD5" w:rsidRPr="00805C22">
              <w:rPr>
                <w:webHidden/>
              </w:rPr>
              <w:tab/>
            </w:r>
            <w:r w:rsidR="00F70AD5" w:rsidRPr="00805C22">
              <w:rPr>
                <w:webHidden/>
              </w:rPr>
              <w:fldChar w:fldCharType="begin"/>
            </w:r>
            <w:r w:rsidR="00F70AD5" w:rsidRPr="00805C22">
              <w:rPr>
                <w:webHidden/>
              </w:rPr>
              <w:instrText xml:space="preserve"> PAGEREF _Toc147242450 \h </w:instrText>
            </w:r>
            <w:r w:rsidR="00F70AD5" w:rsidRPr="00805C22">
              <w:rPr>
                <w:webHidden/>
              </w:rPr>
            </w:r>
            <w:r w:rsidR="00F70AD5" w:rsidRPr="00805C22">
              <w:rPr>
                <w:webHidden/>
              </w:rPr>
              <w:fldChar w:fldCharType="separate"/>
            </w:r>
            <w:r>
              <w:rPr>
                <w:webHidden/>
              </w:rPr>
              <w:t>149</w:t>
            </w:r>
            <w:r w:rsidR="00F70AD5" w:rsidRPr="00805C22">
              <w:rPr>
                <w:webHidden/>
              </w:rPr>
              <w:fldChar w:fldCharType="end"/>
            </w:r>
          </w:hyperlink>
        </w:p>
        <w:p w14:paraId="297E298F" w14:textId="64F1371F" w:rsidR="00F70AD5" w:rsidRPr="00805C22" w:rsidRDefault="006E191C" w:rsidP="003C58C0">
          <w:pPr>
            <w:pStyle w:val="TOC1"/>
            <w:spacing w:line="360" w:lineRule="auto"/>
            <w:rPr>
              <w:rFonts w:eastAsiaTheme="minorEastAsia"/>
              <w:kern w:val="2"/>
              <w14:ligatures w14:val="standardContextual"/>
            </w:rPr>
          </w:pPr>
          <w:hyperlink w:anchor="_Toc147242451" w:history="1">
            <w:r w:rsidR="00F70AD5" w:rsidRPr="00805C22">
              <w:rPr>
                <w:rStyle w:val="Hyperlink"/>
                <w:szCs w:val="24"/>
              </w:rPr>
              <w:t>VI PROJECT IMPLEMENTATION</w:t>
            </w:r>
            <w:r w:rsidR="00F70AD5" w:rsidRPr="00805C22">
              <w:rPr>
                <w:webHidden/>
              </w:rPr>
              <w:tab/>
            </w:r>
            <w:r w:rsidR="00F70AD5" w:rsidRPr="00805C22">
              <w:rPr>
                <w:webHidden/>
              </w:rPr>
              <w:fldChar w:fldCharType="begin"/>
            </w:r>
            <w:r w:rsidR="00F70AD5" w:rsidRPr="00805C22">
              <w:rPr>
                <w:webHidden/>
              </w:rPr>
              <w:instrText xml:space="preserve"> PAGEREF _Toc147242451 \h </w:instrText>
            </w:r>
            <w:r w:rsidR="00F70AD5" w:rsidRPr="00805C22">
              <w:rPr>
                <w:webHidden/>
              </w:rPr>
            </w:r>
            <w:r w:rsidR="00F70AD5" w:rsidRPr="00805C22">
              <w:rPr>
                <w:webHidden/>
              </w:rPr>
              <w:fldChar w:fldCharType="separate"/>
            </w:r>
            <w:r>
              <w:rPr>
                <w:webHidden/>
              </w:rPr>
              <w:t>149</w:t>
            </w:r>
            <w:r w:rsidR="00F70AD5" w:rsidRPr="00805C22">
              <w:rPr>
                <w:webHidden/>
              </w:rPr>
              <w:fldChar w:fldCharType="end"/>
            </w:r>
          </w:hyperlink>
        </w:p>
        <w:p w14:paraId="680D21FF" w14:textId="6D38F298" w:rsidR="00F70AD5" w:rsidRPr="00805C22" w:rsidRDefault="006E191C" w:rsidP="003C58C0">
          <w:pPr>
            <w:pStyle w:val="TOC2"/>
            <w:spacing w:line="360" w:lineRule="auto"/>
            <w:rPr>
              <w:rFonts w:eastAsiaTheme="minorEastAsia"/>
              <w:kern w:val="2"/>
              <w:lang w:val="en-US"/>
              <w14:ligatures w14:val="standardContextual"/>
            </w:rPr>
          </w:pPr>
          <w:hyperlink w:anchor="_Toc147242452" w:history="1">
            <w:r w:rsidR="00F70AD5" w:rsidRPr="00805C22">
              <w:rPr>
                <w:rStyle w:val="Hyperlink"/>
                <w:rFonts w:ascii="Open Sans" w:hAnsi="Open Sans" w:cs="Open Sans"/>
                <w:szCs w:val="24"/>
              </w:rPr>
              <w:t>1 FORMALISING THE ESTABLISHMENT OF THE PROJECT</w:t>
            </w:r>
            <w:r w:rsidR="00F70AD5" w:rsidRPr="00805C22">
              <w:rPr>
                <w:webHidden/>
              </w:rPr>
              <w:tab/>
            </w:r>
            <w:r w:rsidR="00F70AD5" w:rsidRPr="00805C22">
              <w:rPr>
                <w:webHidden/>
              </w:rPr>
              <w:fldChar w:fldCharType="begin"/>
            </w:r>
            <w:r w:rsidR="00F70AD5" w:rsidRPr="00805C22">
              <w:rPr>
                <w:webHidden/>
              </w:rPr>
              <w:instrText xml:space="preserve"> PAGEREF _Toc147242452 \h </w:instrText>
            </w:r>
            <w:r w:rsidR="00F70AD5" w:rsidRPr="00805C22">
              <w:rPr>
                <w:webHidden/>
              </w:rPr>
            </w:r>
            <w:r w:rsidR="00F70AD5" w:rsidRPr="00805C22">
              <w:rPr>
                <w:webHidden/>
              </w:rPr>
              <w:fldChar w:fldCharType="separate"/>
            </w:r>
            <w:r>
              <w:rPr>
                <w:webHidden/>
              </w:rPr>
              <w:t>149</w:t>
            </w:r>
            <w:r w:rsidR="00F70AD5" w:rsidRPr="00805C22">
              <w:rPr>
                <w:webHidden/>
              </w:rPr>
              <w:fldChar w:fldCharType="end"/>
            </w:r>
          </w:hyperlink>
        </w:p>
        <w:p w14:paraId="5ADE25AD" w14:textId="20AD31EB" w:rsidR="00F70AD5" w:rsidRPr="00805C22" w:rsidRDefault="006E191C" w:rsidP="003C58C0">
          <w:pPr>
            <w:pStyle w:val="TOC3"/>
            <w:spacing w:line="360" w:lineRule="auto"/>
            <w:rPr>
              <w:rFonts w:eastAsiaTheme="minorEastAsia"/>
              <w:kern w:val="2"/>
              <w:lang w:val="en-US"/>
              <w14:ligatures w14:val="standardContextual"/>
            </w:rPr>
          </w:pPr>
          <w:hyperlink w:anchor="_Toc147242453" w:history="1">
            <w:r w:rsidR="00F70AD5" w:rsidRPr="00805C22">
              <w:rPr>
                <w:rStyle w:val="Hyperlink"/>
                <w:rFonts w:ascii="Open Sans" w:hAnsi="Open Sans" w:cs="Open Sans"/>
                <w:szCs w:val="24"/>
              </w:rPr>
              <w:t>1.1 Clarification process and contracting a project</w:t>
            </w:r>
            <w:r w:rsidR="00F70AD5" w:rsidRPr="00805C22">
              <w:rPr>
                <w:webHidden/>
              </w:rPr>
              <w:tab/>
            </w:r>
            <w:r w:rsidR="00F70AD5" w:rsidRPr="00805C22">
              <w:rPr>
                <w:webHidden/>
              </w:rPr>
              <w:fldChar w:fldCharType="begin"/>
            </w:r>
            <w:r w:rsidR="00F70AD5" w:rsidRPr="00805C22">
              <w:rPr>
                <w:webHidden/>
              </w:rPr>
              <w:instrText xml:space="preserve"> PAGEREF _Toc147242453 \h </w:instrText>
            </w:r>
            <w:r w:rsidR="00F70AD5" w:rsidRPr="00805C22">
              <w:rPr>
                <w:webHidden/>
              </w:rPr>
            </w:r>
            <w:r w:rsidR="00F70AD5" w:rsidRPr="00805C22">
              <w:rPr>
                <w:webHidden/>
              </w:rPr>
              <w:fldChar w:fldCharType="separate"/>
            </w:r>
            <w:r>
              <w:rPr>
                <w:webHidden/>
              </w:rPr>
              <w:t>149</w:t>
            </w:r>
            <w:r w:rsidR="00F70AD5" w:rsidRPr="00805C22">
              <w:rPr>
                <w:webHidden/>
              </w:rPr>
              <w:fldChar w:fldCharType="end"/>
            </w:r>
          </w:hyperlink>
        </w:p>
        <w:p w14:paraId="17584939" w14:textId="2E4E5C6D" w:rsidR="00F70AD5" w:rsidRPr="00805C22" w:rsidRDefault="006E191C" w:rsidP="003C58C0">
          <w:pPr>
            <w:pStyle w:val="TOC3"/>
            <w:spacing w:line="360" w:lineRule="auto"/>
            <w:rPr>
              <w:rFonts w:eastAsiaTheme="minorEastAsia"/>
              <w:kern w:val="2"/>
              <w:lang w:val="en-US"/>
              <w14:ligatures w14:val="standardContextual"/>
            </w:rPr>
          </w:pPr>
          <w:hyperlink w:anchor="_Toc147242454" w:history="1">
            <w:r w:rsidR="00F70AD5" w:rsidRPr="00805C22">
              <w:rPr>
                <w:rStyle w:val="Hyperlink"/>
                <w:rFonts w:ascii="Open Sans" w:hAnsi="Open Sans" w:cs="Open Sans"/>
                <w:szCs w:val="24"/>
              </w:rPr>
              <w:t>1.2 Subsidy Contract</w:t>
            </w:r>
            <w:r w:rsidR="00F70AD5" w:rsidRPr="00805C22">
              <w:rPr>
                <w:webHidden/>
              </w:rPr>
              <w:tab/>
            </w:r>
            <w:r w:rsidR="00F70AD5" w:rsidRPr="00805C22">
              <w:rPr>
                <w:webHidden/>
              </w:rPr>
              <w:fldChar w:fldCharType="begin"/>
            </w:r>
            <w:r w:rsidR="00F70AD5" w:rsidRPr="00805C22">
              <w:rPr>
                <w:webHidden/>
              </w:rPr>
              <w:instrText xml:space="preserve"> PAGEREF _Toc147242454 \h </w:instrText>
            </w:r>
            <w:r w:rsidR="00F70AD5" w:rsidRPr="00805C22">
              <w:rPr>
                <w:webHidden/>
              </w:rPr>
            </w:r>
            <w:r w:rsidR="00F70AD5" w:rsidRPr="00805C22">
              <w:rPr>
                <w:webHidden/>
              </w:rPr>
              <w:fldChar w:fldCharType="separate"/>
            </w:r>
            <w:r>
              <w:rPr>
                <w:webHidden/>
              </w:rPr>
              <w:t>150</w:t>
            </w:r>
            <w:r w:rsidR="00F70AD5" w:rsidRPr="00805C22">
              <w:rPr>
                <w:webHidden/>
              </w:rPr>
              <w:fldChar w:fldCharType="end"/>
            </w:r>
          </w:hyperlink>
        </w:p>
        <w:p w14:paraId="30FDCE59" w14:textId="20246BE4" w:rsidR="00F70AD5" w:rsidRPr="00805C22" w:rsidRDefault="006E191C" w:rsidP="003C58C0">
          <w:pPr>
            <w:pStyle w:val="TOC3"/>
            <w:spacing w:line="360" w:lineRule="auto"/>
            <w:rPr>
              <w:rFonts w:eastAsiaTheme="minorEastAsia"/>
              <w:kern w:val="2"/>
              <w:lang w:val="en-US"/>
              <w14:ligatures w14:val="standardContextual"/>
            </w:rPr>
          </w:pPr>
          <w:hyperlink w:anchor="_Toc147242455" w:history="1">
            <w:r w:rsidR="00F70AD5" w:rsidRPr="00805C22">
              <w:rPr>
                <w:rStyle w:val="Hyperlink"/>
                <w:rFonts w:ascii="Open Sans" w:hAnsi="Open Sans" w:cs="Open Sans"/>
                <w:szCs w:val="24"/>
              </w:rPr>
              <w:t>1.3 Partnership Agreement</w:t>
            </w:r>
            <w:r w:rsidR="00F70AD5" w:rsidRPr="00805C22">
              <w:rPr>
                <w:webHidden/>
              </w:rPr>
              <w:tab/>
            </w:r>
            <w:r w:rsidR="00F70AD5" w:rsidRPr="00805C22">
              <w:rPr>
                <w:webHidden/>
              </w:rPr>
              <w:fldChar w:fldCharType="begin"/>
            </w:r>
            <w:r w:rsidR="00F70AD5" w:rsidRPr="00805C22">
              <w:rPr>
                <w:webHidden/>
              </w:rPr>
              <w:instrText xml:space="preserve"> PAGEREF _Toc147242455 \h </w:instrText>
            </w:r>
            <w:r w:rsidR="00F70AD5" w:rsidRPr="00805C22">
              <w:rPr>
                <w:webHidden/>
              </w:rPr>
            </w:r>
            <w:r w:rsidR="00F70AD5" w:rsidRPr="00805C22">
              <w:rPr>
                <w:webHidden/>
              </w:rPr>
              <w:fldChar w:fldCharType="separate"/>
            </w:r>
            <w:r>
              <w:rPr>
                <w:webHidden/>
              </w:rPr>
              <w:t>152</w:t>
            </w:r>
            <w:r w:rsidR="00F70AD5" w:rsidRPr="00805C22">
              <w:rPr>
                <w:webHidden/>
              </w:rPr>
              <w:fldChar w:fldCharType="end"/>
            </w:r>
          </w:hyperlink>
        </w:p>
        <w:p w14:paraId="13E2007B" w14:textId="68841EA6" w:rsidR="00F70AD5" w:rsidRPr="00805C22" w:rsidRDefault="006E191C" w:rsidP="003C58C0">
          <w:pPr>
            <w:pStyle w:val="TOC2"/>
            <w:spacing w:line="360" w:lineRule="auto"/>
            <w:rPr>
              <w:rFonts w:eastAsiaTheme="minorEastAsia"/>
              <w:kern w:val="2"/>
              <w:lang w:val="en-US"/>
              <w14:ligatures w14:val="standardContextual"/>
            </w:rPr>
          </w:pPr>
          <w:hyperlink w:anchor="_Toc147242456" w:history="1">
            <w:r w:rsidR="00F70AD5" w:rsidRPr="00805C22">
              <w:rPr>
                <w:rStyle w:val="Hyperlink"/>
                <w:rFonts w:ascii="Open Sans" w:hAnsi="Open Sans" w:cs="Open Sans"/>
                <w:szCs w:val="24"/>
              </w:rPr>
              <w:t>2 USE OF THE EURO</w:t>
            </w:r>
            <w:r w:rsidR="00F70AD5" w:rsidRPr="00805C22">
              <w:rPr>
                <w:webHidden/>
              </w:rPr>
              <w:tab/>
            </w:r>
            <w:r w:rsidR="00F70AD5" w:rsidRPr="00805C22">
              <w:rPr>
                <w:webHidden/>
              </w:rPr>
              <w:fldChar w:fldCharType="begin"/>
            </w:r>
            <w:r w:rsidR="00F70AD5" w:rsidRPr="00805C22">
              <w:rPr>
                <w:webHidden/>
              </w:rPr>
              <w:instrText xml:space="preserve"> PAGEREF _Toc147242456 \h </w:instrText>
            </w:r>
            <w:r w:rsidR="00F70AD5" w:rsidRPr="00805C22">
              <w:rPr>
                <w:webHidden/>
              </w:rPr>
            </w:r>
            <w:r w:rsidR="00F70AD5" w:rsidRPr="00805C22">
              <w:rPr>
                <w:webHidden/>
              </w:rPr>
              <w:fldChar w:fldCharType="separate"/>
            </w:r>
            <w:r>
              <w:rPr>
                <w:webHidden/>
              </w:rPr>
              <w:t>153</w:t>
            </w:r>
            <w:r w:rsidR="00F70AD5" w:rsidRPr="00805C22">
              <w:rPr>
                <w:webHidden/>
              </w:rPr>
              <w:fldChar w:fldCharType="end"/>
            </w:r>
          </w:hyperlink>
        </w:p>
        <w:p w14:paraId="6039217C" w14:textId="0E1653AD" w:rsidR="00F70AD5" w:rsidRPr="00805C22" w:rsidRDefault="006E191C" w:rsidP="003C58C0">
          <w:pPr>
            <w:pStyle w:val="TOC2"/>
            <w:spacing w:line="360" w:lineRule="auto"/>
            <w:rPr>
              <w:rFonts w:eastAsiaTheme="minorEastAsia"/>
              <w:kern w:val="2"/>
              <w:lang w:val="en-US"/>
              <w14:ligatures w14:val="standardContextual"/>
            </w:rPr>
          </w:pPr>
          <w:hyperlink w:anchor="_Toc147242457" w:history="1">
            <w:r w:rsidR="00F70AD5" w:rsidRPr="00805C22">
              <w:rPr>
                <w:rStyle w:val="Hyperlink"/>
                <w:rFonts w:ascii="Open Sans" w:hAnsi="Open Sans" w:cs="Open Sans"/>
                <w:szCs w:val="24"/>
              </w:rPr>
              <w:t>3 COMMUNICATION AND MANAGEMENT OF OUTPUTS AND RESULTS</w:t>
            </w:r>
            <w:r w:rsidR="00F70AD5" w:rsidRPr="00805C22">
              <w:rPr>
                <w:webHidden/>
              </w:rPr>
              <w:tab/>
            </w:r>
            <w:r w:rsidR="00F70AD5" w:rsidRPr="00805C22">
              <w:rPr>
                <w:webHidden/>
              </w:rPr>
              <w:fldChar w:fldCharType="begin"/>
            </w:r>
            <w:r w:rsidR="00F70AD5" w:rsidRPr="00805C22">
              <w:rPr>
                <w:webHidden/>
              </w:rPr>
              <w:instrText xml:space="preserve"> PAGEREF _Toc147242457 \h </w:instrText>
            </w:r>
            <w:r w:rsidR="00F70AD5" w:rsidRPr="00805C22">
              <w:rPr>
                <w:webHidden/>
              </w:rPr>
            </w:r>
            <w:r w:rsidR="00F70AD5" w:rsidRPr="00805C22">
              <w:rPr>
                <w:webHidden/>
              </w:rPr>
              <w:fldChar w:fldCharType="separate"/>
            </w:r>
            <w:r>
              <w:rPr>
                <w:webHidden/>
              </w:rPr>
              <w:t>154</w:t>
            </w:r>
            <w:r w:rsidR="00F70AD5" w:rsidRPr="00805C22">
              <w:rPr>
                <w:webHidden/>
              </w:rPr>
              <w:fldChar w:fldCharType="end"/>
            </w:r>
          </w:hyperlink>
        </w:p>
        <w:p w14:paraId="0AC671BC" w14:textId="2C872320" w:rsidR="00F70AD5" w:rsidRPr="00805C22" w:rsidRDefault="006E191C" w:rsidP="003C58C0">
          <w:pPr>
            <w:pStyle w:val="TOC3"/>
            <w:spacing w:line="360" w:lineRule="auto"/>
            <w:rPr>
              <w:rFonts w:eastAsiaTheme="minorEastAsia"/>
              <w:kern w:val="2"/>
              <w:lang w:val="en-US"/>
              <w14:ligatures w14:val="standardContextual"/>
            </w:rPr>
          </w:pPr>
          <w:hyperlink w:anchor="_Toc147242458" w:history="1">
            <w:r w:rsidR="00F70AD5" w:rsidRPr="00805C22">
              <w:rPr>
                <w:rStyle w:val="Hyperlink"/>
                <w:rFonts w:ascii="Open Sans" w:hAnsi="Open Sans" w:cs="Open Sans"/>
                <w:szCs w:val="24"/>
              </w:rPr>
              <w:t>3.1 Communication obligations for project partners</w:t>
            </w:r>
            <w:r w:rsidR="00F70AD5" w:rsidRPr="00805C22">
              <w:rPr>
                <w:webHidden/>
              </w:rPr>
              <w:tab/>
            </w:r>
            <w:r w:rsidR="00F70AD5" w:rsidRPr="00805C22">
              <w:rPr>
                <w:webHidden/>
              </w:rPr>
              <w:fldChar w:fldCharType="begin"/>
            </w:r>
            <w:r w:rsidR="00F70AD5" w:rsidRPr="00805C22">
              <w:rPr>
                <w:webHidden/>
              </w:rPr>
              <w:instrText xml:space="preserve"> PAGEREF _Toc147242458 \h </w:instrText>
            </w:r>
            <w:r w:rsidR="00F70AD5" w:rsidRPr="00805C22">
              <w:rPr>
                <w:webHidden/>
              </w:rPr>
            </w:r>
            <w:r w:rsidR="00F70AD5" w:rsidRPr="00805C22">
              <w:rPr>
                <w:webHidden/>
              </w:rPr>
              <w:fldChar w:fldCharType="separate"/>
            </w:r>
            <w:r>
              <w:rPr>
                <w:webHidden/>
              </w:rPr>
              <w:t>155</w:t>
            </w:r>
            <w:r w:rsidR="00F70AD5" w:rsidRPr="00805C22">
              <w:rPr>
                <w:webHidden/>
              </w:rPr>
              <w:fldChar w:fldCharType="end"/>
            </w:r>
          </w:hyperlink>
        </w:p>
        <w:p w14:paraId="7A05EB0C" w14:textId="6692776D" w:rsidR="00F70AD5" w:rsidRPr="00805C22" w:rsidRDefault="006E191C" w:rsidP="003C58C0">
          <w:pPr>
            <w:pStyle w:val="TOC3"/>
            <w:spacing w:line="360" w:lineRule="auto"/>
            <w:rPr>
              <w:rFonts w:eastAsiaTheme="minorEastAsia"/>
              <w:kern w:val="2"/>
              <w:lang w:val="en-US"/>
              <w14:ligatures w14:val="standardContextual"/>
            </w:rPr>
          </w:pPr>
          <w:hyperlink w:anchor="_Toc147242459" w:history="1">
            <w:r w:rsidR="00F70AD5" w:rsidRPr="00805C22">
              <w:rPr>
                <w:rStyle w:val="Hyperlink"/>
                <w:rFonts w:ascii="Open Sans" w:hAnsi="Open Sans" w:cs="Open Sans"/>
                <w:szCs w:val="24"/>
              </w:rPr>
              <w:t>3.2 Preparation of the Communication Plan</w:t>
            </w:r>
            <w:r w:rsidR="00F70AD5" w:rsidRPr="00805C22">
              <w:rPr>
                <w:webHidden/>
              </w:rPr>
              <w:tab/>
            </w:r>
            <w:r w:rsidR="00F70AD5" w:rsidRPr="00805C22">
              <w:rPr>
                <w:webHidden/>
              </w:rPr>
              <w:fldChar w:fldCharType="begin"/>
            </w:r>
            <w:r w:rsidR="00F70AD5" w:rsidRPr="00805C22">
              <w:rPr>
                <w:webHidden/>
              </w:rPr>
              <w:instrText xml:space="preserve"> PAGEREF _Toc147242459 \h </w:instrText>
            </w:r>
            <w:r w:rsidR="00F70AD5" w:rsidRPr="00805C22">
              <w:rPr>
                <w:webHidden/>
              </w:rPr>
            </w:r>
            <w:r w:rsidR="00F70AD5" w:rsidRPr="00805C22">
              <w:rPr>
                <w:webHidden/>
              </w:rPr>
              <w:fldChar w:fldCharType="separate"/>
            </w:r>
            <w:r>
              <w:rPr>
                <w:webHidden/>
              </w:rPr>
              <w:t>160</w:t>
            </w:r>
            <w:r w:rsidR="00F70AD5" w:rsidRPr="00805C22">
              <w:rPr>
                <w:webHidden/>
              </w:rPr>
              <w:fldChar w:fldCharType="end"/>
            </w:r>
          </w:hyperlink>
        </w:p>
        <w:p w14:paraId="50171C93" w14:textId="41D90AD4" w:rsidR="00F70AD5" w:rsidRPr="00805C22" w:rsidRDefault="006E191C" w:rsidP="003C58C0">
          <w:pPr>
            <w:pStyle w:val="TOC3"/>
            <w:spacing w:line="360" w:lineRule="auto"/>
            <w:rPr>
              <w:rFonts w:eastAsiaTheme="minorEastAsia"/>
              <w:kern w:val="2"/>
              <w:lang w:val="en-US"/>
              <w14:ligatures w14:val="standardContextual"/>
            </w:rPr>
          </w:pPr>
          <w:hyperlink w:anchor="_Toc147242460" w:history="1">
            <w:r w:rsidR="00F70AD5" w:rsidRPr="00805C22">
              <w:rPr>
                <w:rStyle w:val="Hyperlink"/>
                <w:rFonts w:ascii="Open Sans" w:hAnsi="Open Sans" w:cs="Open Sans"/>
                <w:szCs w:val="24"/>
              </w:rPr>
              <w:t>3.3 Programme logotype</w:t>
            </w:r>
            <w:r w:rsidR="00F70AD5" w:rsidRPr="00805C22">
              <w:rPr>
                <w:webHidden/>
              </w:rPr>
              <w:tab/>
            </w:r>
            <w:r w:rsidR="00F70AD5" w:rsidRPr="00805C22">
              <w:rPr>
                <w:webHidden/>
              </w:rPr>
              <w:fldChar w:fldCharType="begin"/>
            </w:r>
            <w:r w:rsidR="00F70AD5" w:rsidRPr="00805C22">
              <w:rPr>
                <w:webHidden/>
              </w:rPr>
              <w:instrText xml:space="preserve"> PAGEREF _Toc147242460 \h </w:instrText>
            </w:r>
            <w:r w:rsidR="00F70AD5" w:rsidRPr="00805C22">
              <w:rPr>
                <w:webHidden/>
              </w:rPr>
            </w:r>
            <w:r w:rsidR="00F70AD5" w:rsidRPr="00805C22">
              <w:rPr>
                <w:webHidden/>
              </w:rPr>
              <w:fldChar w:fldCharType="separate"/>
            </w:r>
            <w:r>
              <w:rPr>
                <w:webHidden/>
              </w:rPr>
              <w:t>161</w:t>
            </w:r>
            <w:r w:rsidR="00F70AD5" w:rsidRPr="00805C22">
              <w:rPr>
                <w:webHidden/>
              </w:rPr>
              <w:fldChar w:fldCharType="end"/>
            </w:r>
          </w:hyperlink>
        </w:p>
        <w:p w14:paraId="21B01EED" w14:textId="7EBECD72" w:rsidR="00F70AD5" w:rsidRPr="00805C22" w:rsidRDefault="006E191C" w:rsidP="003C58C0">
          <w:pPr>
            <w:pStyle w:val="TOC2"/>
            <w:spacing w:line="360" w:lineRule="auto"/>
            <w:rPr>
              <w:rFonts w:eastAsiaTheme="minorEastAsia"/>
              <w:kern w:val="2"/>
              <w:lang w:val="en-US"/>
              <w14:ligatures w14:val="standardContextual"/>
            </w:rPr>
          </w:pPr>
          <w:hyperlink w:anchor="_Toc147242461" w:history="1">
            <w:r w:rsidR="00F70AD5" w:rsidRPr="00805C22">
              <w:rPr>
                <w:rStyle w:val="Hyperlink"/>
                <w:rFonts w:ascii="Open Sans" w:hAnsi="Open Sans" w:cs="Open Sans"/>
                <w:szCs w:val="24"/>
              </w:rPr>
              <w:t>4 CHANGES DURING PROJECT IMPLEMENTATION</w:t>
            </w:r>
            <w:r w:rsidR="00F70AD5" w:rsidRPr="00805C22">
              <w:rPr>
                <w:webHidden/>
              </w:rPr>
              <w:tab/>
            </w:r>
            <w:r w:rsidR="00F70AD5" w:rsidRPr="00805C22">
              <w:rPr>
                <w:webHidden/>
              </w:rPr>
              <w:fldChar w:fldCharType="begin"/>
            </w:r>
            <w:r w:rsidR="00F70AD5" w:rsidRPr="00805C22">
              <w:rPr>
                <w:webHidden/>
              </w:rPr>
              <w:instrText xml:space="preserve"> PAGEREF _Toc147242461 \h </w:instrText>
            </w:r>
            <w:r w:rsidR="00F70AD5" w:rsidRPr="00805C22">
              <w:rPr>
                <w:webHidden/>
              </w:rPr>
            </w:r>
            <w:r w:rsidR="00F70AD5" w:rsidRPr="00805C22">
              <w:rPr>
                <w:webHidden/>
              </w:rPr>
              <w:fldChar w:fldCharType="separate"/>
            </w:r>
            <w:r>
              <w:rPr>
                <w:webHidden/>
              </w:rPr>
              <w:t>162</w:t>
            </w:r>
            <w:r w:rsidR="00F70AD5" w:rsidRPr="00805C22">
              <w:rPr>
                <w:webHidden/>
              </w:rPr>
              <w:fldChar w:fldCharType="end"/>
            </w:r>
          </w:hyperlink>
        </w:p>
        <w:p w14:paraId="7C9F36AC" w14:textId="3D52D802" w:rsidR="00F70AD5" w:rsidRPr="00805C22" w:rsidRDefault="006E191C" w:rsidP="003C58C0">
          <w:pPr>
            <w:pStyle w:val="TOC3"/>
            <w:spacing w:line="360" w:lineRule="auto"/>
            <w:rPr>
              <w:rFonts w:eastAsiaTheme="minorEastAsia"/>
              <w:kern w:val="2"/>
              <w:lang w:val="en-US"/>
              <w14:ligatures w14:val="standardContextual"/>
            </w:rPr>
          </w:pPr>
          <w:hyperlink w:anchor="_Toc147242462" w:history="1">
            <w:r w:rsidR="00F70AD5" w:rsidRPr="00805C22">
              <w:rPr>
                <w:rStyle w:val="Hyperlink"/>
                <w:rFonts w:ascii="Open Sans" w:hAnsi="Open Sans" w:cs="Open Sans"/>
                <w:szCs w:val="24"/>
              </w:rPr>
              <w:t>4.1 Budget changes</w:t>
            </w:r>
            <w:r w:rsidR="00F70AD5" w:rsidRPr="00805C22">
              <w:rPr>
                <w:webHidden/>
              </w:rPr>
              <w:tab/>
            </w:r>
            <w:r w:rsidR="00F70AD5" w:rsidRPr="00805C22">
              <w:rPr>
                <w:webHidden/>
              </w:rPr>
              <w:fldChar w:fldCharType="begin"/>
            </w:r>
            <w:r w:rsidR="00F70AD5" w:rsidRPr="00805C22">
              <w:rPr>
                <w:webHidden/>
              </w:rPr>
              <w:instrText xml:space="preserve"> PAGEREF _Toc147242462 \h </w:instrText>
            </w:r>
            <w:r w:rsidR="00F70AD5" w:rsidRPr="00805C22">
              <w:rPr>
                <w:webHidden/>
              </w:rPr>
            </w:r>
            <w:r w:rsidR="00F70AD5" w:rsidRPr="00805C22">
              <w:rPr>
                <w:webHidden/>
              </w:rPr>
              <w:fldChar w:fldCharType="separate"/>
            </w:r>
            <w:r>
              <w:rPr>
                <w:webHidden/>
              </w:rPr>
              <w:t>164</w:t>
            </w:r>
            <w:r w:rsidR="00F70AD5" w:rsidRPr="00805C22">
              <w:rPr>
                <w:webHidden/>
              </w:rPr>
              <w:fldChar w:fldCharType="end"/>
            </w:r>
          </w:hyperlink>
        </w:p>
        <w:p w14:paraId="030156C1" w14:textId="5B80E1CB" w:rsidR="00F70AD5" w:rsidRPr="00805C22" w:rsidRDefault="006E191C" w:rsidP="003C58C0">
          <w:pPr>
            <w:pStyle w:val="TOC3"/>
            <w:spacing w:line="360" w:lineRule="auto"/>
            <w:rPr>
              <w:rFonts w:eastAsiaTheme="minorEastAsia"/>
              <w:kern w:val="2"/>
              <w:lang w:val="en-US"/>
              <w14:ligatures w14:val="standardContextual"/>
            </w:rPr>
          </w:pPr>
          <w:hyperlink w:anchor="_Toc147242463" w:history="1">
            <w:r w:rsidR="00F70AD5" w:rsidRPr="00805C22">
              <w:rPr>
                <w:rStyle w:val="Hyperlink"/>
                <w:rFonts w:ascii="Open Sans" w:hAnsi="Open Sans" w:cs="Open Sans"/>
                <w:szCs w:val="24"/>
              </w:rPr>
              <w:t>4.2 Changes to the project activities</w:t>
            </w:r>
            <w:r w:rsidR="00F70AD5" w:rsidRPr="00805C22">
              <w:rPr>
                <w:webHidden/>
              </w:rPr>
              <w:tab/>
            </w:r>
            <w:r w:rsidR="00F70AD5" w:rsidRPr="00805C22">
              <w:rPr>
                <w:webHidden/>
              </w:rPr>
              <w:fldChar w:fldCharType="begin"/>
            </w:r>
            <w:r w:rsidR="00F70AD5" w:rsidRPr="00805C22">
              <w:rPr>
                <w:webHidden/>
              </w:rPr>
              <w:instrText xml:space="preserve"> PAGEREF _Toc147242463 \h </w:instrText>
            </w:r>
            <w:r w:rsidR="00F70AD5" w:rsidRPr="00805C22">
              <w:rPr>
                <w:webHidden/>
              </w:rPr>
            </w:r>
            <w:r w:rsidR="00F70AD5" w:rsidRPr="00805C22">
              <w:rPr>
                <w:webHidden/>
              </w:rPr>
              <w:fldChar w:fldCharType="separate"/>
            </w:r>
            <w:r>
              <w:rPr>
                <w:webHidden/>
              </w:rPr>
              <w:t>166</w:t>
            </w:r>
            <w:r w:rsidR="00F70AD5" w:rsidRPr="00805C22">
              <w:rPr>
                <w:webHidden/>
              </w:rPr>
              <w:fldChar w:fldCharType="end"/>
            </w:r>
          </w:hyperlink>
        </w:p>
        <w:p w14:paraId="6569DDBD" w14:textId="44C5B663" w:rsidR="00F70AD5" w:rsidRPr="00805C22" w:rsidRDefault="006E191C" w:rsidP="003C58C0">
          <w:pPr>
            <w:pStyle w:val="TOC3"/>
            <w:spacing w:line="360" w:lineRule="auto"/>
            <w:rPr>
              <w:rFonts w:eastAsiaTheme="minorEastAsia"/>
              <w:kern w:val="2"/>
              <w:lang w:val="en-US"/>
              <w14:ligatures w14:val="standardContextual"/>
            </w:rPr>
          </w:pPr>
          <w:hyperlink w:anchor="_Toc147242464" w:history="1">
            <w:r w:rsidR="00F70AD5" w:rsidRPr="00805C22">
              <w:rPr>
                <w:rStyle w:val="Hyperlink"/>
                <w:rFonts w:ascii="Open Sans" w:hAnsi="Open Sans" w:cs="Open Sans"/>
                <w:szCs w:val="24"/>
              </w:rPr>
              <w:t>4.3 Changes to project outputs and deliverables</w:t>
            </w:r>
            <w:r w:rsidR="00F70AD5" w:rsidRPr="00805C22">
              <w:rPr>
                <w:webHidden/>
              </w:rPr>
              <w:tab/>
            </w:r>
            <w:r w:rsidR="00F70AD5" w:rsidRPr="00805C22">
              <w:rPr>
                <w:webHidden/>
              </w:rPr>
              <w:fldChar w:fldCharType="begin"/>
            </w:r>
            <w:r w:rsidR="00F70AD5" w:rsidRPr="00805C22">
              <w:rPr>
                <w:webHidden/>
              </w:rPr>
              <w:instrText xml:space="preserve"> PAGEREF _Toc147242464 \h </w:instrText>
            </w:r>
            <w:r w:rsidR="00F70AD5" w:rsidRPr="00805C22">
              <w:rPr>
                <w:webHidden/>
              </w:rPr>
            </w:r>
            <w:r w:rsidR="00F70AD5" w:rsidRPr="00805C22">
              <w:rPr>
                <w:webHidden/>
              </w:rPr>
              <w:fldChar w:fldCharType="separate"/>
            </w:r>
            <w:r>
              <w:rPr>
                <w:webHidden/>
              </w:rPr>
              <w:t>167</w:t>
            </w:r>
            <w:r w:rsidR="00F70AD5" w:rsidRPr="00805C22">
              <w:rPr>
                <w:webHidden/>
              </w:rPr>
              <w:fldChar w:fldCharType="end"/>
            </w:r>
          </w:hyperlink>
        </w:p>
        <w:p w14:paraId="296C7B46" w14:textId="5021B144" w:rsidR="00F70AD5" w:rsidRPr="00805C22" w:rsidRDefault="006E191C" w:rsidP="003C58C0">
          <w:pPr>
            <w:pStyle w:val="TOC3"/>
            <w:spacing w:line="360" w:lineRule="auto"/>
            <w:rPr>
              <w:rFonts w:eastAsiaTheme="minorEastAsia"/>
              <w:kern w:val="2"/>
              <w:lang w:val="en-US"/>
              <w14:ligatures w14:val="standardContextual"/>
            </w:rPr>
          </w:pPr>
          <w:hyperlink w:anchor="_Toc147242465" w:history="1">
            <w:r w:rsidR="00F70AD5" w:rsidRPr="00805C22">
              <w:rPr>
                <w:rStyle w:val="Hyperlink"/>
                <w:rFonts w:ascii="Open Sans" w:hAnsi="Open Sans" w:cs="Open Sans"/>
                <w:szCs w:val="24"/>
              </w:rPr>
              <w:t>4.4 Prolongation of the project implementation time</w:t>
            </w:r>
            <w:r w:rsidR="00F70AD5" w:rsidRPr="00805C22">
              <w:rPr>
                <w:webHidden/>
              </w:rPr>
              <w:tab/>
            </w:r>
            <w:r w:rsidR="00F70AD5" w:rsidRPr="00805C22">
              <w:rPr>
                <w:webHidden/>
              </w:rPr>
              <w:fldChar w:fldCharType="begin"/>
            </w:r>
            <w:r w:rsidR="00F70AD5" w:rsidRPr="00805C22">
              <w:rPr>
                <w:webHidden/>
              </w:rPr>
              <w:instrText xml:space="preserve"> PAGEREF _Toc147242465 \h </w:instrText>
            </w:r>
            <w:r w:rsidR="00F70AD5" w:rsidRPr="00805C22">
              <w:rPr>
                <w:webHidden/>
              </w:rPr>
            </w:r>
            <w:r w:rsidR="00F70AD5" w:rsidRPr="00805C22">
              <w:rPr>
                <w:webHidden/>
              </w:rPr>
              <w:fldChar w:fldCharType="separate"/>
            </w:r>
            <w:r>
              <w:rPr>
                <w:webHidden/>
              </w:rPr>
              <w:t>167</w:t>
            </w:r>
            <w:r w:rsidR="00F70AD5" w:rsidRPr="00805C22">
              <w:rPr>
                <w:webHidden/>
              </w:rPr>
              <w:fldChar w:fldCharType="end"/>
            </w:r>
          </w:hyperlink>
        </w:p>
        <w:p w14:paraId="41C1EE38" w14:textId="39A12433" w:rsidR="00F70AD5" w:rsidRPr="00805C22" w:rsidRDefault="006E191C" w:rsidP="003C58C0">
          <w:pPr>
            <w:pStyle w:val="TOC3"/>
            <w:spacing w:line="360" w:lineRule="auto"/>
            <w:rPr>
              <w:rFonts w:eastAsiaTheme="minorEastAsia"/>
              <w:kern w:val="2"/>
              <w:lang w:val="en-US"/>
              <w14:ligatures w14:val="standardContextual"/>
            </w:rPr>
          </w:pPr>
          <w:hyperlink w:anchor="_Toc147242466" w:history="1">
            <w:r w:rsidR="00F70AD5" w:rsidRPr="00805C22">
              <w:rPr>
                <w:rStyle w:val="Hyperlink"/>
                <w:rFonts w:ascii="Open Sans" w:hAnsi="Open Sans" w:cs="Open Sans"/>
                <w:szCs w:val="24"/>
              </w:rPr>
              <w:t>4.5 Partnership</w:t>
            </w:r>
            <w:r w:rsidR="00F70AD5" w:rsidRPr="00805C22">
              <w:rPr>
                <w:webHidden/>
              </w:rPr>
              <w:tab/>
            </w:r>
            <w:r w:rsidR="00F70AD5" w:rsidRPr="00805C22">
              <w:rPr>
                <w:webHidden/>
              </w:rPr>
              <w:fldChar w:fldCharType="begin"/>
            </w:r>
            <w:r w:rsidR="00F70AD5" w:rsidRPr="00805C22">
              <w:rPr>
                <w:webHidden/>
              </w:rPr>
              <w:instrText xml:space="preserve"> PAGEREF _Toc147242466 \h </w:instrText>
            </w:r>
            <w:r w:rsidR="00F70AD5" w:rsidRPr="00805C22">
              <w:rPr>
                <w:webHidden/>
              </w:rPr>
            </w:r>
            <w:r w:rsidR="00F70AD5" w:rsidRPr="00805C22">
              <w:rPr>
                <w:webHidden/>
              </w:rPr>
              <w:fldChar w:fldCharType="separate"/>
            </w:r>
            <w:r>
              <w:rPr>
                <w:webHidden/>
              </w:rPr>
              <w:t>168</w:t>
            </w:r>
            <w:r w:rsidR="00F70AD5" w:rsidRPr="00805C22">
              <w:rPr>
                <w:webHidden/>
              </w:rPr>
              <w:fldChar w:fldCharType="end"/>
            </w:r>
          </w:hyperlink>
        </w:p>
        <w:p w14:paraId="47DCA040" w14:textId="0EECB6BD" w:rsidR="00F70AD5" w:rsidRPr="00805C22" w:rsidRDefault="006E191C" w:rsidP="003C58C0">
          <w:pPr>
            <w:pStyle w:val="TOC3"/>
            <w:spacing w:line="360" w:lineRule="auto"/>
            <w:rPr>
              <w:rFonts w:eastAsiaTheme="minorEastAsia"/>
              <w:kern w:val="2"/>
              <w:lang w:val="en-US"/>
              <w14:ligatures w14:val="standardContextual"/>
            </w:rPr>
          </w:pPr>
          <w:hyperlink w:anchor="_Toc147242467" w:history="1">
            <w:r w:rsidR="00F70AD5" w:rsidRPr="00805C22">
              <w:rPr>
                <w:rStyle w:val="Hyperlink"/>
                <w:rFonts w:ascii="Open Sans" w:hAnsi="Open Sans" w:cs="Open Sans"/>
                <w:szCs w:val="24"/>
              </w:rPr>
              <w:t>4.6 Other changes</w:t>
            </w:r>
            <w:r w:rsidR="00F70AD5" w:rsidRPr="00805C22">
              <w:rPr>
                <w:webHidden/>
              </w:rPr>
              <w:tab/>
            </w:r>
            <w:r w:rsidR="00F70AD5" w:rsidRPr="00805C22">
              <w:rPr>
                <w:webHidden/>
              </w:rPr>
              <w:fldChar w:fldCharType="begin"/>
            </w:r>
            <w:r w:rsidR="00F70AD5" w:rsidRPr="00805C22">
              <w:rPr>
                <w:webHidden/>
              </w:rPr>
              <w:instrText xml:space="preserve"> PAGEREF _Toc147242467 \h </w:instrText>
            </w:r>
            <w:r w:rsidR="00F70AD5" w:rsidRPr="00805C22">
              <w:rPr>
                <w:webHidden/>
              </w:rPr>
            </w:r>
            <w:r w:rsidR="00F70AD5" w:rsidRPr="00805C22">
              <w:rPr>
                <w:webHidden/>
              </w:rPr>
              <w:fldChar w:fldCharType="separate"/>
            </w:r>
            <w:r>
              <w:rPr>
                <w:webHidden/>
              </w:rPr>
              <w:t>170</w:t>
            </w:r>
            <w:r w:rsidR="00F70AD5" w:rsidRPr="00805C22">
              <w:rPr>
                <w:webHidden/>
              </w:rPr>
              <w:fldChar w:fldCharType="end"/>
            </w:r>
          </w:hyperlink>
        </w:p>
        <w:p w14:paraId="75FCA325" w14:textId="547D9FBB" w:rsidR="00F70AD5" w:rsidRPr="00805C22" w:rsidRDefault="006E191C" w:rsidP="003C58C0">
          <w:pPr>
            <w:pStyle w:val="TOC3"/>
            <w:spacing w:line="360" w:lineRule="auto"/>
            <w:rPr>
              <w:rFonts w:eastAsiaTheme="minorEastAsia"/>
              <w:kern w:val="2"/>
              <w:lang w:val="en-US"/>
              <w14:ligatures w14:val="standardContextual"/>
            </w:rPr>
          </w:pPr>
          <w:hyperlink w:anchor="_Toc147242468" w:history="1">
            <w:r w:rsidR="00F70AD5" w:rsidRPr="00805C22">
              <w:rPr>
                <w:rStyle w:val="Hyperlink"/>
                <w:rFonts w:ascii="Open Sans" w:hAnsi="Open Sans" w:cs="Open Sans"/>
                <w:szCs w:val="24"/>
              </w:rPr>
              <w:t>4.7 Consequences of not meeting output indicators and spending targets</w:t>
            </w:r>
            <w:r w:rsidR="00F70AD5" w:rsidRPr="00805C22">
              <w:rPr>
                <w:webHidden/>
              </w:rPr>
              <w:tab/>
            </w:r>
            <w:r w:rsidR="00F70AD5" w:rsidRPr="00805C22">
              <w:rPr>
                <w:webHidden/>
              </w:rPr>
              <w:fldChar w:fldCharType="begin"/>
            </w:r>
            <w:r w:rsidR="00F70AD5" w:rsidRPr="00805C22">
              <w:rPr>
                <w:webHidden/>
              </w:rPr>
              <w:instrText xml:space="preserve"> PAGEREF _Toc147242468 \h </w:instrText>
            </w:r>
            <w:r w:rsidR="00F70AD5" w:rsidRPr="00805C22">
              <w:rPr>
                <w:webHidden/>
              </w:rPr>
            </w:r>
            <w:r w:rsidR="00F70AD5" w:rsidRPr="00805C22">
              <w:rPr>
                <w:webHidden/>
              </w:rPr>
              <w:fldChar w:fldCharType="separate"/>
            </w:r>
            <w:r>
              <w:rPr>
                <w:webHidden/>
              </w:rPr>
              <w:t>170</w:t>
            </w:r>
            <w:r w:rsidR="00F70AD5" w:rsidRPr="00805C22">
              <w:rPr>
                <w:webHidden/>
              </w:rPr>
              <w:fldChar w:fldCharType="end"/>
            </w:r>
          </w:hyperlink>
        </w:p>
        <w:p w14:paraId="780BB1DB" w14:textId="40D48F95" w:rsidR="00F70AD5" w:rsidRPr="00805C22" w:rsidRDefault="006E191C" w:rsidP="003C58C0">
          <w:pPr>
            <w:pStyle w:val="TOC3"/>
            <w:spacing w:line="360" w:lineRule="auto"/>
            <w:rPr>
              <w:rFonts w:eastAsiaTheme="minorEastAsia"/>
              <w:kern w:val="2"/>
              <w:lang w:val="en-US"/>
              <w14:ligatures w14:val="standardContextual"/>
            </w:rPr>
          </w:pPr>
          <w:hyperlink w:anchor="_Toc147242469" w:history="1">
            <w:r w:rsidR="00F70AD5" w:rsidRPr="00805C22">
              <w:rPr>
                <w:rStyle w:val="Hyperlink"/>
                <w:rFonts w:ascii="Open Sans" w:hAnsi="Open Sans" w:cs="Open Sans"/>
                <w:szCs w:val="24"/>
              </w:rPr>
              <w:t>4.8 Complaints related to the implementation of the Subsidy Contract</w:t>
            </w:r>
            <w:r w:rsidR="00F70AD5" w:rsidRPr="00805C22">
              <w:rPr>
                <w:webHidden/>
              </w:rPr>
              <w:tab/>
            </w:r>
            <w:r w:rsidR="00F70AD5" w:rsidRPr="00805C22">
              <w:rPr>
                <w:webHidden/>
              </w:rPr>
              <w:fldChar w:fldCharType="begin"/>
            </w:r>
            <w:r w:rsidR="00F70AD5" w:rsidRPr="00805C22">
              <w:rPr>
                <w:webHidden/>
              </w:rPr>
              <w:instrText xml:space="preserve"> PAGEREF _Toc147242469 \h </w:instrText>
            </w:r>
            <w:r w:rsidR="00F70AD5" w:rsidRPr="00805C22">
              <w:rPr>
                <w:webHidden/>
              </w:rPr>
            </w:r>
            <w:r w:rsidR="00F70AD5" w:rsidRPr="00805C22">
              <w:rPr>
                <w:webHidden/>
              </w:rPr>
              <w:fldChar w:fldCharType="separate"/>
            </w:r>
            <w:r>
              <w:rPr>
                <w:webHidden/>
              </w:rPr>
              <w:t>171</w:t>
            </w:r>
            <w:r w:rsidR="00F70AD5" w:rsidRPr="00805C22">
              <w:rPr>
                <w:webHidden/>
              </w:rPr>
              <w:fldChar w:fldCharType="end"/>
            </w:r>
          </w:hyperlink>
        </w:p>
        <w:p w14:paraId="73B322A8" w14:textId="3701860A" w:rsidR="00F70AD5" w:rsidRPr="00805C22" w:rsidRDefault="006E191C" w:rsidP="003C58C0">
          <w:pPr>
            <w:pStyle w:val="TOC2"/>
            <w:spacing w:line="360" w:lineRule="auto"/>
            <w:rPr>
              <w:rFonts w:eastAsiaTheme="minorEastAsia"/>
              <w:kern w:val="2"/>
              <w:lang w:val="en-US"/>
              <w14:ligatures w14:val="standardContextual"/>
            </w:rPr>
          </w:pPr>
          <w:hyperlink w:anchor="_Toc147242470" w:history="1">
            <w:r w:rsidR="00F70AD5" w:rsidRPr="00805C22">
              <w:rPr>
                <w:rStyle w:val="Hyperlink"/>
                <w:rFonts w:ascii="Open Sans" w:hAnsi="Open Sans" w:cs="Open Sans"/>
                <w:szCs w:val="24"/>
              </w:rPr>
              <w:t>5 MONITORING AND REPORTING</w:t>
            </w:r>
            <w:r w:rsidR="00F70AD5" w:rsidRPr="00805C22">
              <w:rPr>
                <w:webHidden/>
              </w:rPr>
              <w:tab/>
            </w:r>
            <w:r w:rsidR="00F70AD5" w:rsidRPr="00805C22">
              <w:rPr>
                <w:webHidden/>
              </w:rPr>
              <w:fldChar w:fldCharType="begin"/>
            </w:r>
            <w:r w:rsidR="00F70AD5" w:rsidRPr="00805C22">
              <w:rPr>
                <w:webHidden/>
              </w:rPr>
              <w:instrText xml:space="preserve"> PAGEREF _Toc147242470 \h </w:instrText>
            </w:r>
            <w:r w:rsidR="00F70AD5" w:rsidRPr="00805C22">
              <w:rPr>
                <w:webHidden/>
              </w:rPr>
            </w:r>
            <w:r w:rsidR="00F70AD5" w:rsidRPr="00805C22">
              <w:rPr>
                <w:webHidden/>
              </w:rPr>
              <w:fldChar w:fldCharType="separate"/>
            </w:r>
            <w:r>
              <w:rPr>
                <w:webHidden/>
              </w:rPr>
              <w:t>172</w:t>
            </w:r>
            <w:r w:rsidR="00F70AD5" w:rsidRPr="00805C22">
              <w:rPr>
                <w:webHidden/>
              </w:rPr>
              <w:fldChar w:fldCharType="end"/>
            </w:r>
          </w:hyperlink>
        </w:p>
        <w:p w14:paraId="3A4569DD" w14:textId="5A554282" w:rsidR="00F70AD5" w:rsidRPr="00805C22" w:rsidRDefault="006E191C" w:rsidP="003C58C0">
          <w:pPr>
            <w:pStyle w:val="TOC3"/>
            <w:spacing w:line="360" w:lineRule="auto"/>
            <w:rPr>
              <w:rFonts w:eastAsiaTheme="minorEastAsia"/>
              <w:kern w:val="2"/>
              <w:lang w:val="en-US"/>
              <w14:ligatures w14:val="standardContextual"/>
            </w:rPr>
          </w:pPr>
          <w:hyperlink w:anchor="_Toc147242471" w:history="1">
            <w:r w:rsidR="00F70AD5" w:rsidRPr="00805C22">
              <w:rPr>
                <w:rStyle w:val="Hyperlink"/>
                <w:rFonts w:ascii="Open Sans" w:hAnsi="Open Sans" w:cs="Open Sans"/>
                <w:szCs w:val="24"/>
              </w:rPr>
              <w:t>5.1 General principles</w:t>
            </w:r>
            <w:r w:rsidR="00F70AD5" w:rsidRPr="00805C22">
              <w:rPr>
                <w:webHidden/>
              </w:rPr>
              <w:tab/>
            </w:r>
            <w:r w:rsidR="00F70AD5" w:rsidRPr="00805C22">
              <w:rPr>
                <w:webHidden/>
              </w:rPr>
              <w:fldChar w:fldCharType="begin"/>
            </w:r>
            <w:r w:rsidR="00F70AD5" w:rsidRPr="00805C22">
              <w:rPr>
                <w:webHidden/>
              </w:rPr>
              <w:instrText xml:space="preserve"> PAGEREF _Toc147242471 \h </w:instrText>
            </w:r>
            <w:r w:rsidR="00F70AD5" w:rsidRPr="00805C22">
              <w:rPr>
                <w:webHidden/>
              </w:rPr>
            </w:r>
            <w:r w:rsidR="00F70AD5" w:rsidRPr="00805C22">
              <w:rPr>
                <w:webHidden/>
              </w:rPr>
              <w:fldChar w:fldCharType="separate"/>
            </w:r>
            <w:r>
              <w:rPr>
                <w:webHidden/>
              </w:rPr>
              <w:t>172</w:t>
            </w:r>
            <w:r w:rsidR="00F70AD5" w:rsidRPr="00805C22">
              <w:rPr>
                <w:webHidden/>
              </w:rPr>
              <w:fldChar w:fldCharType="end"/>
            </w:r>
          </w:hyperlink>
        </w:p>
        <w:p w14:paraId="13FB0D3E" w14:textId="604D82E1" w:rsidR="00F70AD5" w:rsidRPr="00805C22" w:rsidRDefault="006E191C" w:rsidP="003C58C0">
          <w:pPr>
            <w:pStyle w:val="TOC3"/>
            <w:spacing w:line="360" w:lineRule="auto"/>
            <w:rPr>
              <w:rFonts w:eastAsiaTheme="minorEastAsia"/>
              <w:kern w:val="2"/>
              <w:lang w:val="en-US"/>
              <w14:ligatures w14:val="standardContextual"/>
            </w:rPr>
          </w:pPr>
          <w:hyperlink w:anchor="_Toc147242472" w:history="1">
            <w:r w:rsidR="00F70AD5" w:rsidRPr="00805C22">
              <w:rPr>
                <w:rStyle w:val="Hyperlink"/>
                <w:rFonts w:ascii="Open Sans" w:hAnsi="Open Sans" w:cs="Open Sans"/>
                <w:szCs w:val="24"/>
              </w:rPr>
              <w:t>5.2 Mid-term project review</w:t>
            </w:r>
            <w:r w:rsidR="00F70AD5" w:rsidRPr="00805C22">
              <w:rPr>
                <w:webHidden/>
              </w:rPr>
              <w:tab/>
            </w:r>
            <w:r w:rsidR="00F70AD5" w:rsidRPr="00805C22">
              <w:rPr>
                <w:webHidden/>
              </w:rPr>
              <w:fldChar w:fldCharType="begin"/>
            </w:r>
            <w:r w:rsidR="00F70AD5" w:rsidRPr="00805C22">
              <w:rPr>
                <w:webHidden/>
              </w:rPr>
              <w:instrText xml:space="preserve"> PAGEREF _Toc147242472 \h </w:instrText>
            </w:r>
            <w:r w:rsidR="00F70AD5" w:rsidRPr="00805C22">
              <w:rPr>
                <w:webHidden/>
              </w:rPr>
            </w:r>
            <w:r w:rsidR="00F70AD5" w:rsidRPr="00805C22">
              <w:rPr>
                <w:webHidden/>
              </w:rPr>
              <w:fldChar w:fldCharType="separate"/>
            </w:r>
            <w:r>
              <w:rPr>
                <w:webHidden/>
              </w:rPr>
              <w:t>175</w:t>
            </w:r>
            <w:r w:rsidR="00F70AD5" w:rsidRPr="00805C22">
              <w:rPr>
                <w:webHidden/>
              </w:rPr>
              <w:fldChar w:fldCharType="end"/>
            </w:r>
          </w:hyperlink>
        </w:p>
        <w:p w14:paraId="2137C1B7" w14:textId="3AA1E4D5" w:rsidR="00F70AD5" w:rsidRPr="00805C22" w:rsidRDefault="006E191C" w:rsidP="003C58C0">
          <w:pPr>
            <w:pStyle w:val="TOC3"/>
            <w:spacing w:line="360" w:lineRule="auto"/>
            <w:rPr>
              <w:rFonts w:eastAsiaTheme="minorEastAsia"/>
              <w:kern w:val="2"/>
              <w:lang w:val="en-US"/>
              <w14:ligatures w14:val="standardContextual"/>
            </w:rPr>
          </w:pPr>
          <w:hyperlink w:anchor="_Toc147242473" w:history="1">
            <w:r w:rsidR="00F70AD5" w:rsidRPr="00805C22">
              <w:rPr>
                <w:rStyle w:val="Hyperlink"/>
                <w:rFonts w:ascii="Open Sans" w:hAnsi="Open Sans" w:cs="Open Sans"/>
                <w:szCs w:val="24"/>
              </w:rPr>
              <w:t>5.3 Accounting of project expenditure, documents, and their storage</w:t>
            </w:r>
            <w:r w:rsidR="00F70AD5" w:rsidRPr="00805C22">
              <w:rPr>
                <w:webHidden/>
              </w:rPr>
              <w:tab/>
            </w:r>
            <w:r w:rsidR="00F70AD5" w:rsidRPr="00805C22">
              <w:rPr>
                <w:webHidden/>
              </w:rPr>
              <w:fldChar w:fldCharType="begin"/>
            </w:r>
            <w:r w:rsidR="00F70AD5" w:rsidRPr="00805C22">
              <w:rPr>
                <w:webHidden/>
              </w:rPr>
              <w:instrText xml:space="preserve"> PAGEREF _Toc147242473 \h </w:instrText>
            </w:r>
            <w:r w:rsidR="00F70AD5" w:rsidRPr="00805C22">
              <w:rPr>
                <w:webHidden/>
              </w:rPr>
            </w:r>
            <w:r w:rsidR="00F70AD5" w:rsidRPr="00805C22">
              <w:rPr>
                <w:webHidden/>
              </w:rPr>
              <w:fldChar w:fldCharType="separate"/>
            </w:r>
            <w:r>
              <w:rPr>
                <w:webHidden/>
              </w:rPr>
              <w:t>176</w:t>
            </w:r>
            <w:r w:rsidR="00F70AD5" w:rsidRPr="00805C22">
              <w:rPr>
                <w:webHidden/>
              </w:rPr>
              <w:fldChar w:fldCharType="end"/>
            </w:r>
          </w:hyperlink>
        </w:p>
        <w:p w14:paraId="730F5A2D" w14:textId="4868DDA3" w:rsidR="00F70AD5" w:rsidRPr="00805C22" w:rsidRDefault="006E191C" w:rsidP="003C58C0">
          <w:pPr>
            <w:pStyle w:val="TOC3"/>
            <w:spacing w:line="360" w:lineRule="auto"/>
            <w:rPr>
              <w:rFonts w:eastAsiaTheme="minorEastAsia"/>
              <w:kern w:val="2"/>
              <w:lang w:val="en-US"/>
              <w14:ligatures w14:val="standardContextual"/>
            </w:rPr>
          </w:pPr>
          <w:hyperlink w:anchor="_Toc147242474" w:history="1">
            <w:r w:rsidR="00F70AD5" w:rsidRPr="00805C22">
              <w:rPr>
                <w:rStyle w:val="Hyperlink"/>
                <w:rFonts w:ascii="Open Sans" w:hAnsi="Open Sans" w:cs="Open Sans"/>
                <w:szCs w:val="24"/>
              </w:rPr>
              <w:t>5.4 Reporting process</w:t>
            </w:r>
            <w:r w:rsidR="00F70AD5" w:rsidRPr="00805C22">
              <w:rPr>
                <w:webHidden/>
              </w:rPr>
              <w:tab/>
            </w:r>
            <w:r w:rsidR="00F70AD5" w:rsidRPr="00805C22">
              <w:rPr>
                <w:webHidden/>
              </w:rPr>
              <w:fldChar w:fldCharType="begin"/>
            </w:r>
            <w:r w:rsidR="00F70AD5" w:rsidRPr="00805C22">
              <w:rPr>
                <w:webHidden/>
              </w:rPr>
              <w:instrText xml:space="preserve"> PAGEREF _Toc147242474 \h </w:instrText>
            </w:r>
            <w:r w:rsidR="00F70AD5" w:rsidRPr="00805C22">
              <w:rPr>
                <w:webHidden/>
              </w:rPr>
            </w:r>
            <w:r w:rsidR="00F70AD5" w:rsidRPr="00805C22">
              <w:rPr>
                <w:webHidden/>
              </w:rPr>
              <w:fldChar w:fldCharType="separate"/>
            </w:r>
            <w:r>
              <w:rPr>
                <w:webHidden/>
              </w:rPr>
              <w:t>179</w:t>
            </w:r>
            <w:r w:rsidR="00F70AD5" w:rsidRPr="00805C22">
              <w:rPr>
                <w:webHidden/>
              </w:rPr>
              <w:fldChar w:fldCharType="end"/>
            </w:r>
          </w:hyperlink>
        </w:p>
        <w:p w14:paraId="2F03623D" w14:textId="2B489C3D" w:rsidR="00F70AD5" w:rsidRPr="00805C22" w:rsidRDefault="006E191C" w:rsidP="003C58C0">
          <w:pPr>
            <w:pStyle w:val="TOC3"/>
            <w:spacing w:line="360" w:lineRule="auto"/>
            <w:rPr>
              <w:rFonts w:eastAsiaTheme="minorEastAsia"/>
              <w:kern w:val="2"/>
              <w:lang w:val="en-US"/>
              <w14:ligatures w14:val="standardContextual"/>
            </w:rPr>
          </w:pPr>
          <w:hyperlink w:anchor="_Toc147242475" w:history="1">
            <w:r w:rsidR="00F70AD5" w:rsidRPr="00805C22">
              <w:rPr>
                <w:rStyle w:val="Hyperlink"/>
                <w:rFonts w:ascii="Open Sans" w:hAnsi="Open Sans" w:cs="Open Sans"/>
                <w:szCs w:val="24"/>
              </w:rPr>
              <w:t>5.5 Reimbursement of project costs</w:t>
            </w:r>
            <w:r w:rsidR="00F70AD5" w:rsidRPr="00805C22">
              <w:rPr>
                <w:webHidden/>
              </w:rPr>
              <w:tab/>
            </w:r>
            <w:r w:rsidR="00F70AD5" w:rsidRPr="00805C22">
              <w:rPr>
                <w:webHidden/>
              </w:rPr>
              <w:fldChar w:fldCharType="begin"/>
            </w:r>
            <w:r w:rsidR="00F70AD5" w:rsidRPr="00805C22">
              <w:rPr>
                <w:webHidden/>
              </w:rPr>
              <w:instrText xml:space="preserve"> PAGEREF _Toc147242475 \h </w:instrText>
            </w:r>
            <w:r w:rsidR="00F70AD5" w:rsidRPr="00805C22">
              <w:rPr>
                <w:webHidden/>
              </w:rPr>
            </w:r>
            <w:r w:rsidR="00F70AD5" w:rsidRPr="00805C22">
              <w:rPr>
                <w:webHidden/>
              </w:rPr>
              <w:fldChar w:fldCharType="separate"/>
            </w:r>
            <w:r>
              <w:rPr>
                <w:webHidden/>
              </w:rPr>
              <w:t>182</w:t>
            </w:r>
            <w:r w:rsidR="00F70AD5" w:rsidRPr="00805C22">
              <w:rPr>
                <w:webHidden/>
              </w:rPr>
              <w:fldChar w:fldCharType="end"/>
            </w:r>
          </w:hyperlink>
        </w:p>
        <w:p w14:paraId="2FDC9B99" w14:textId="2EDBAB78" w:rsidR="00F70AD5" w:rsidRPr="00805C22" w:rsidRDefault="006E191C" w:rsidP="003C58C0">
          <w:pPr>
            <w:pStyle w:val="TOC2"/>
            <w:spacing w:line="360" w:lineRule="auto"/>
            <w:rPr>
              <w:rFonts w:eastAsiaTheme="minorEastAsia"/>
              <w:kern w:val="2"/>
              <w:lang w:val="en-US"/>
              <w14:ligatures w14:val="standardContextual"/>
            </w:rPr>
          </w:pPr>
          <w:hyperlink w:anchor="_Toc147242476" w:history="1">
            <w:r w:rsidR="00F70AD5" w:rsidRPr="00805C22">
              <w:rPr>
                <w:rStyle w:val="Hyperlink"/>
                <w:rFonts w:ascii="Open Sans" w:hAnsi="Open Sans" w:cs="Open Sans"/>
                <w:szCs w:val="24"/>
              </w:rPr>
              <w:t>6 AUDIT AND CONTROL</w:t>
            </w:r>
            <w:r w:rsidR="00F70AD5" w:rsidRPr="00805C22">
              <w:rPr>
                <w:webHidden/>
              </w:rPr>
              <w:tab/>
            </w:r>
            <w:r w:rsidR="00F70AD5" w:rsidRPr="00805C22">
              <w:rPr>
                <w:webHidden/>
              </w:rPr>
              <w:fldChar w:fldCharType="begin"/>
            </w:r>
            <w:r w:rsidR="00F70AD5" w:rsidRPr="00805C22">
              <w:rPr>
                <w:webHidden/>
              </w:rPr>
              <w:instrText xml:space="preserve"> PAGEREF _Toc147242476 \h </w:instrText>
            </w:r>
            <w:r w:rsidR="00F70AD5" w:rsidRPr="00805C22">
              <w:rPr>
                <w:webHidden/>
              </w:rPr>
            </w:r>
            <w:r w:rsidR="00F70AD5" w:rsidRPr="00805C22">
              <w:rPr>
                <w:webHidden/>
              </w:rPr>
              <w:fldChar w:fldCharType="separate"/>
            </w:r>
            <w:r>
              <w:rPr>
                <w:webHidden/>
              </w:rPr>
              <w:t>183</w:t>
            </w:r>
            <w:r w:rsidR="00F70AD5" w:rsidRPr="00805C22">
              <w:rPr>
                <w:webHidden/>
              </w:rPr>
              <w:fldChar w:fldCharType="end"/>
            </w:r>
          </w:hyperlink>
        </w:p>
        <w:p w14:paraId="3D4A0377" w14:textId="143CE84B" w:rsidR="00F70AD5" w:rsidRPr="00805C22" w:rsidRDefault="006E191C" w:rsidP="003C58C0">
          <w:pPr>
            <w:pStyle w:val="TOC3"/>
            <w:spacing w:line="360" w:lineRule="auto"/>
            <w:rPr>
              <w:rFonts w:eastAsiaTheme="minorEastAsia"/>
              <w:kern w:val="2"/>
              <w:lang w:val="en-US"/>
              <w14:ligatures w14:val="standardContextual"/>
            </w:rPr>
          </w:pPr>
          <w:hyperlink w:anchor="_Toc147242477" w:history="1">
            <w:r w:rsidR="00F70AD5" w:rsidRPr="00805C22">
              <w:rPr>
                <w:rStyle w:val="Hyperlink"/>
                <w:rFonts w:ascii="Open Sans" w:hAnsi="Open Sans" w:cs="Open Sans"/>
                <w:szCs w:val="24"/>
              </w:rPr>
              <w:t>6.1 First Level Control</w:t>
            </w:r>
            <w:r w:rsidR="00F70AD5" w:rsidRPr="00805C22">
              <w:rPr>
                <w:webHidden/>
              </w:rPr>
              <w:tab/>
            </w:r>
            <w:r w:rsidR="00F70AD5" w:rsidRPr="00805C22">
              <w:rPr>
                <w:webHidden/>
              </w:rPr>
              <w:fldChar w:fldCharType="begin"/>
            </w:r>
            <w:r w:rsidR="00F70AD5" w:rsidRPr="00805C22">
              <w:rPr>
                <w:webHidden/>
              </w:rPr>
              <w:instrText xml:space="preserve"> PAGEREF _Toc147242477 \h </w:instrText>
            </w:r>
            <w:r w:rsidR="00F70AD5" w:rsidRPr="00805C22">
              <w:rPr>
                <w:webHidden/>
              </w:rPr>
            </w:r>
            <w:r w:rsidR="00F70AD5" w:rsidRPr="00805C22">
              <w:rPr>
                <w:webHidden/>
              </w:rPr>
              <w:fldChar w:fldCharType="separate"/>
            </w:r>
            <w:r>
              <w:rPr>
                <w:webHidden/>
              </w:rPr>
              <w:t>183</w:t>
            </w:r>
            <w:r w:rsidR="00F70AD5" w:rsidRPr="00805C22">
              <w:rPr>
                <w:webHidden/>
              </w:rPr>
              <w:fldChar w:fldCharType="end"/>
            </w:r>
          </w:hyperlink>
        </w:p>
        <w:p w14:paraId="5B73BFA0" w14:textId="76974037" w:rsidR="00F70AD5" w:rsidRPr="00805C22" w:rsidRDefault="006E191C" w:rsidP="003C58C0">
          <w:pPr>
            <w:pStyle w:val="TOC3"/>
            <w:spacing w:line="360" w:lineRule="auto"/>
            <w:rPr>
              <w:rFonts w:eastAsiaTheme="minorEastAsia"/>
              <w:kern w:val="2"/>
              <w:lang w:val="en-US"/>
              <w14:ligatures w14:val="standardContextual"/>
            </w:rPr>
          </w:pPr>
          <w:hyperlink w:anchor="_Toc147242478" w:history="1">
            <w:r w:rsidR="00F70AD5" w:rsidRPr="00805C22">
              <w:rPr>
                <w:rStyle w:val="Hyperlink"/>
                <w:rFonts w:ascii="Open Sans" w:hAnsi="Open Sans" w:cs="Open Sans"/>
                <w:szCs w:val="24"/>
              </w:rPr>
              <w:t>6.2 Second Level Control</w:t>
            </w:r>
            <w:r w:rsidR="00F70AD5" w:rsidRPr="00805C22">
              <w:rPr>
                <w:webHidden/>
              </w:rPr>
              <w:tab/>
            </w:r>
            <w:r w:rsidR="00F70AD5" w:rsidRPr="00805C22">
              <w:rPr>
                <w:webHidden/>
              </w:rPr>
              <w:fldChar w:fldCharType="begin"/>
            </w:r>
            <w:r w:rsidR="00F70AD5" w:rsidRPr="00805C22">
              <w:rPr>
                <w:webHidden/>
              </w:rPr>
              <w:instrText xml:space="preserve"> PAGEREF _Toc147242478 \h </w:instrText>
            </w:r>
            <w:r w:rsidR="00F70AD5" w:rsidRPr="00805C22">
              <w:rPr>
                <w:webHidden/>
              </w:rPr>
            </w:r>
            <w:r w:rsidR="00F70AD5" w:rsidRPr="00805C22">
              <w:rPr>
                <w:webHidden/>
              </w:rPr>
              <w:fldChar w:fldCharType="separate"/>
            </w:r>
            <w:r>
              <w:rPr>
                <w:webHidden/>
              </w:rPr>
              <w:t>193</w:t>
            </w:r>
            <w:r w:rsidR="00F70AD5" w:rsidRPr="00805C22">
              <w:rPr>
                <w:webHidden/>
              </w:rPr>
              <w:fldChar w:fldCharType="end"/>
            </w:r>
          </w:hyperlink>
        </w:p>
        <w:p w14:paraId="028B3D56" w14:textId="212B9560" w:rsidR="00F70AD5" w:rsidRPr="00805C22" w:rsidRDefault="006E191C" w:rsidP="003C58C0">
          <w:pPr>
            <w:pStyle w:val="TOC3"/>
            <w:spacing w:line="360" w:lineRule="auto"/>
            <w:rPr>
              <w:rFonts w:eastAsiaTheme="minorEastAsia"/>
              <w:kern w:val="2"/>
              <w:lang w:val="en-US"/>
              <w14:ligatures w14:val="standardContextual"/>
            </w:rPr>
          </w:pPr>
          <w:hyperlink w:anchor="_Toc147242479" w:history="1">
            <w:r w:rsidR="00F70AD5" w:rsidRPr="00805C22">
              <w:rPr>
                <w:rStyle w:val="Hyperlink"/>
                <w:rFonts w:ascii="Open Sans" w:hAnsi="Open Sans" w:cs="Open Sans"/>
                <w:szCs w:val="24"/>
              </w:rPr>
              <w:t>6.3 Irregularities</w:t>
            </w:r>
            <w:r w:rsidR="00F70AD5" w:rsidRPr="00805C22">
              <w:rPr>
                <w:webHidden/>
              </w:rPr>
              <w:tab/>
            </w:r>
            <w:r w:rsidR="00F70AD5" w:rsidRPr="00805C22">
              <w:rPr>
                <w:webHidden/>
              </w:rPr>
              <w:fldChar w:fldCharType="begin"/>
            </w:r>
            <w:r w:rsidR="00F70AD5" w:rsidRPr="00805C22">
              <w:rPr>
                <w:webHidden/>
              </w:rPr>
              <w:instrText xml:space="preserve"> PAGEREF _Toc147242479 \h </w:instrText>
            </w:r>
            <w:r w:rsidR="00F70AD5" w:rsidRPr="00805C22">
              <w:rPr>
                <w:webHidden/>
              </w:rPr>
            </w:r>
            <w:r w:rsidR="00F70AD5" w:rsidRPr="00805C22">
              <w:rPr>
                <w:webHidden/>
              </w:rPr>
              <w:fldChar w:fldCharType="separate"/>
            </w:r>
            <w:r>
              <w:rPr>
                <w:webHidden/>
              </w:rPr>
              <w:t>195</w:t>
            </w:r>
            <w:r w:rsidR="00F70AD5" w:rsidRPr="00805C22">
              <w:rPr>
                <w:webHidden/>
              </w:rPr>
              <w:fldChar w:fldCharType="end"/>
            </w:r>
          </w:hyperlink>
        </w:p>
        <w:p w14:paraId="32BCC869" w14:textId="5C6B697F" w:rsidR="00F70AD5" w:rsidRPr="00805C22" w:rsidRDefault="006E191C" w:rsidP="003C58C0">
          <w:pPr>
            <w:pStyle w:val="TOC1"/>
            <w:spacing w:line="360" w:lineRule="auto"/>
            <w:rPr>
              <w:rFonts w:eastAsiaTheme="minorEastAsia"/>
              <w:kern w:val="2"/>
              <w14:ligatures w14:val="standardContextual"/>
            </w:rPr>
          </w:pPr>
          <w:hyperlink w:anchor="_Toc147242480" w:history="1">
            <w:r w:rsidR="00F70AD5" w:rsidRPr="00805C22">
              <w:rPr>
                <w:rStyle w:val="Hyperlink"/>
                <w:szCs w:val="24"/>
              </w:rPr>
              <w:t>VII PERSONAL DATA PROTECTION</w:t>
            </w:r>
            <w:r w:rsidR="00F70AD5" w:rsidRPr="00805C22">
              <w:rPr>
                <w:webHidden/>
              </w:rPr>
              <w:tab/>
            </w:r>
            <w:r w:rsidR="00F70AD5" w:rsidRPr="00805C22">
              <w:rPr>
                <w:webHidden/>
              </w:rPr>
              <w:fldChar w:fldCharType="begin"/>
            </w:r>
            <w:r w:rsidR="00F70AD5" w:rsidRPr="00805C22">
              <w:rPr>
                <w:webHidden/>
              </w:rPr>
              <w:instrText xml:space="preserve"> PAGEREF _Toc147242480 \h </w:instrText>
            </w:r>
            <w:r w:rsidR="00F70AD5" w:rsidRPr="00805C22">
              <w:rPr>
                <w:webHidden/>
              </w:rPr>
            </w:r>
            <w:r w:rsidR="00F70AD5" w:rsidRPr="00805C22">
              <w:rPr>
                <w:webHidden/>
              </w:rPr>
              <w:fldChar w:fldCharType="separate"/>
            </w:r>
            <w:r>
              <w:rPr>
                <w:webHidden/>
              </w:rPr>
              <w:t>196</w:t>
            </w:r>
            <w:r w:rsidR="00F70AD5" w:rsidRPr="00805C22">
              <w:rPr>
                <w:webHidden/>
              </w:rPr>
              <w:fldChar w:fldCharType="end"/>
            </w:r>
          </w:hyperlink>
        </w:p>
        <w:p w14:paraId="0F613885" w14:textId="65945027" w:rsidR="00F70AD5" w:rsidRPr="00805C22" w:rsidRDefault="006E191C" w:rsidP="003C58C0">
          <w:pPr>
            <w:pStyle w:val="TOC2"/>
            <w:spacing w:line="360" w:lineRule="auto"/>
            <w:rPr>
              <w:rFonts w:eastAsiaTheme="minorEastAsia"/>
              <w:kern w:val="2"/>
              <w:lang w:val="en-US"/>
              <w14:ligatures w14:val="standardContextual"/>
            </w:rPr>
          </w:pPr>
          <w:hyperlink w:anchor="_Toc147242481" w:history="1">
            <w:r w:rsidR="00F70AD5" w:rsidRPr="00805C22">
              <w:rPr>
                <w:rStyle w:val="Hyperlink"/>
                <w:rFonts w:ascii="Open Sans" w:hAnsi="Open Sans" w:cs="Open Sans"/>
                <w:szCs w:val="24"/>
              </w:rPr>
              <w:t>1 Processing of personal data</w:t>
            </w:r>
            <w:r w:rsidR="00F70AD5" w:rsidRPr="00805C22">
              <w:rPr>
                <w:webHidden/>
              </w:rPr>
              <w:tab/>
            </w:r>
            <w:r w:rsidR="00F70AD5" w:rsidRPr="00805C22">
              <w:rPr>
                <w:webHidden/>
              </w:rPr>
              <w:fldChar w:fldCharType="begin"/>
            </w:r>
            <w:r w:rsidR="00F70AD5" w:rsidRPr="00805C22">
              <w:rPr>
                <w:webHidden/>
              </w:rPr>
              <w:instrText xml:space="preserve"> PAGEREF _Toc147242481 \h </w:instrText>
            </w:r>
            <w:r w:rsidR="00F70AD5" w:rsidRPr="00805C22">
              <w:rPr>
                <w:webHidden/>
              </w:rPr>
            </w:r>
            <w:r w:rsidR="00F70AD5" w:rsidRPr="00805C22">
              <w:rPr>
                <w:webHidden/>
              </w:rPr>
              <w:fldChar w:fldCharType="separate"/>
            </w:r>
            <w:r>
              <w:rPr>
                <w:webHidden/>
              </w:rPr>
              <w:t>196</w:t>
            </w:r>
            <w:r w:rsidR="00F70AD5" w:rsidRPr="00805C22">
              <w:rPr>
                <w:webHidden/>
              </w:rPr>
              <w:fldChar w:fldCharType="end"/>
            </w:r>
          </w:hyperlink>
        </w:p>
        <w:p w14:paraId="1FC1FEAA" w14:textId="2BF1086C" w:rsidR="00F70AD5" w:rsidRPr="00805C22" w:rsidRDefault="006E191C" w:rsidP="003C58C0">
          <w:pPr>
            <w:pStyle w:val="TOC2"/>
            <w:spacing w:line="360" w:lineRule="auto"/>
            <w:rPr>
              <w:rFonts w:eastAsiaTheme="minorEastAsia"/>
              <w:kern w:val="2"/>
              <w:lang w:val="en-US"/>
              <w14:ligatures w14:val="standardContextual"/>
            </w:rPr>
          </w:pPr>
          <w:hyperlink w:anchor="_Toc147242482" w:history="1">
            <w:r w:rsidR="00F70AD5" w:rsidRPr="00805C22">
              <w:rPr>
                <w:rStyle w:val="Hyperlink"/>
                <w:rFonts w:ascii="Open Sans" w:hAnsi="Open Sans" w:cs="Open Sans"/>
                <w:szCs w:val="24"/>
              </w:rPr>
              <w:t>2 Data controllers</w:t>
            </w:r>
            <w:r w:rsidR="00F70AD5" w:rsidRPr="00805C22">
              <w:rPr>
                <w:webHidden/>
              </w:rPr>
              <w:tab/>
            </w:r>
            <w:r w:rsidR="00F70AD5" w:rsidRPr="00805C22">
              <w:rPr>
                <w:webHidden/>
              </w:rPr>
              <w:fldChar w:fldCharType="begin"/>
            </w:r>
            <w:r w:rsidR="00F70AD5" w:rsidRPr="00805C22">
              <w:rPr>
                <w:webHidden/>
              </w:rPr>
              <w:instrText xml:space="preserve"> PAGEREF _Toc147242482 \h </w:instrText>
            </w:r>
            <w:r w:rsidR="00F70AD5" w:rsidRPr="00805C22">
              <w:rPr>
                <w:webHidden/>
              </w:rPr>
            </w:r>
            <w:r w:rsidR="00F70AD5" w:rsidRPr="00805C22">
              <w:rPr>
                <w:webHidden/>
              </w:rPr>
              <w:fldChar w:fldCharType="separate"/>
            </w:r>
            <w:r>
              <w:rPr>
                <w:webHidden/>
              </w:rPr>
              <w:t>197</w:t>
            </w:r>
            <w:r w:rsidR="00F70AD5" w:rsidRPr="00805C22">
              <w:rPr>
                <w:webHidden/>
              </w:rPr>
              <w:fldChar w:fldCharType="end"/>
            </w:r>
          </w:hyperlink>
        </w:p>
        <w:p w14:paraId="70538A02" w14:textId="2A1FD0DE" w:rsidR="00F70AD5" w:rsidRPr="00805C22" w:rsidRDefault="006E191C" w:rsidP="003C58C0">
          <w:pPr>
            <w:pStyle w:val="TOC2"/>
            <w:spacing w:line="360" w:lineRule="auto"/>
            <w:rPr>
              <w:rFonts w:eastAsiaTheme="minorEastAsia"/>
              <w:kern w:val="2"/>
              <w:lang w:val="en-US"/>
              <w14:ligatures w14:val="standardContextual"/>
            </w:rPr>
          </w:pPr>
          <w:hyperlink w:anchor="_Toc147242483" w:history="1">
            <w:r w:rsidR="00F70AD5" w:rsidRPr="00805C22">
              <w:rPr>
                <w:rStyle w:val="Hyperlink"/>
                <w:rFonts w:ascii="Open Sans" w:hAnsi="Open Sans" w:cs="Open Sans"/>
                <w:szCs w:val="24"/>
              </w:rPr>
              <w:t>3 Information obligation</w:t>
            </w:r>
            <w:r w:rsidR="00F70AD5" w:rsidRPr="00805C22">
              <w:rPr>
                <w:webHidden/>
              </w:rPr>
              <w:tab/>
            </w:r>
            <w:r w:rsidR="00F70AD5" w:rsidRPr="00805C22">
              <w:rPr>
                <w:webHidden/>
              </w:rPr>
              <w:fldChar w:fldCharType="begin"/>
            </w:r>
            <w:r w:rsidR="00F70AD5" w:rsidRPr="00805C22">
              <w:rPr>
                <w:webHidden/>
              </w:rPr>
              <w:instrText xml:space="preserve"> PAGEREF _Toc147242483 \h </w:instrText>
            </w:r>
            <w:r w:rsidR="00F70AD5" w:rsidRPr="00805C22">
              <w:rPr>
                <w:webHidden/>
              </w:rPr>
            </w:r>
            <w:r w:rsidR="00F70AD5" w:rsidRPr="00805C22">
              <w:rPr>
                <w:webHidden/>
              </w:rPr>
              <w:fldChar w:fldCharType="separate"/>
            </w:r>
            <w:r>
              <w:rPr>
                <w:webHidden/>
              </w:rPr>
              <w:t>198</w:t>
            </w:r>
            <w:r w:rsidR="00F70AD5" w:rsidRPr="00805C22">
              <w:rPr>
                <w:webHidden/>
              </w:rPr>
              <w:fldChar w:fldCharType="end"/>
            </w:r>
          </w:hyperlink>
        </w:p>
        <w:p w14:paraId="4FE26F27" w14:textId="106EFF26" w:rsidR="00F70AD5" w:rsidRPr="00805C22" w:rsidRDefault="006E191C" w:rsidP="003C58C0">
          <w:pPr>
            <w:pStyle w:val="TOC1"/>
            <w:spacing w:line="360" w:lineRule="auto"/>
            <w:rPr>
              <w:rFonts w:eastAsiaTheme="minorEastAsia"/>
              <w:kern w:val="2"/>
              <w14:ligatures w14:val="standardContextual"/>
            </w:rPr>
          </w:pPr>
          <w:hyperlink w:anchor="_Toc147242484" w:history="1">
            <w:r w:rsidR="00F70AD5" w:rsidRPr="00805C22">
              <w:rPr>
                <w:rStyle w:val="Hyperlink"/>
                <w:szCs w:val="24"/>
              </w:rPr>
              <w:t>VIII PROJECT DURABILITY</w:t>
            </w:r>
            <w:r w:rsidR="00F70AD5" w:rsidRPr="00805C22">
              <w:rPr>
                <w:webHidden/>
              </w:rPr>
              <w:tab/>
            </w:r>
            <w:r w:rsidR="00F70AD5" w:rsidRPr="00805C22">
              <w:rPr>
                <w:webHidden/>
              </w:rPr>
              <w:fldChar w:fldCharType="begin"/>
            </w:r>
            <w:r w:rsidR="00F70AD5" w:rsidRPr="00805C22">
              <w:rPr>
                <w:webHidden/>
              </w:rPr>
              <w:instrText xml:space="preserve"> PAGEREF _Toc147242484 \h </w:instrText>
            </w:r>
            <w:r w:rsidR="00F70AD5" w:rsidRPr="00805C22">
              <w:rPr>
                <w:webHidden/>
              </w:rPr>
            </w:r>
            <w:r w:rsidR="00F70AD5" w:rsidRPr="00805C22">
              <w:rPr>
                <w:webHidden/>
              </w:rPr>
              <w:fldChar w:fldCharType="separate"/>
            </w:r>
            <w:r>
              <w:rPr>
                <w:webHidden/>
              </w:rPr>
              <w:t>199</w:t>
            </w:r>
            <w:r w:rsidR="00F70AD5" w:rsidRPr="00805C22">
              <w:rPr>
                <w:webHidden/>
              </w:rPr>
              <w:fldChar w:fldCharType="end"/>
            </w:r>
          </w:hyperlink>
        </w:p>
        <w:p w14:paraId="3CCF11E5" w14:textId="47E5500B" w:rsidR="00F70AD5" w:rsidRDefault="006E191C" w:rsidP="003C58C0">
          <w:pPr>
            <w:pStyle w:val="TOC2"/>
            <w:spacing w:line="360" w:lineRule="auto"/>
            <w:rPr>
              <w:rFonts w:asciiTheme="minorHAnsi" w:eastAsiaTheme="minorEastAsia" w:hAnsiTheme="minorHAnsi" w:cstheme="minorBidi"/>
              <w:kern w:val="2"/>
              <w:lang w:val="en-US"/>
              <w14:ligatures w14:val="standardContextual"/>
            </w:rPr>
          </w:pPr>
          <w:hyperlink w:anchor="_Toc147242485" w:history="1">
            <w:r w:rsidR="00F70AD5" w:rsidRPr="00805C22">
              <w:rPr>
                <w:rStyle w:val="Hyperlink"/>
                <w:rFonts w:ascii="Open Sans" w:hAnsi="Open Sans" w:cs="Open Sans"/>
                <w:szCs w:val="24"/>
              </w:rPr>
              <w:t>1 Project durability</w:t>
            </w:r>
            <w:r w:rsidR="00F70AD5" w:rsidRPr="00805C22">
              <w:rPr>
                <w:webHidden/>
              </w:rPr>
              <w:tab/>
            </w:r>
            <w:r w:rsidR="00F70AD5" w:rsidRPr="00805C22">
              <w:rPr>
                <w:webHidden/>
              </w:rPr>
              <w:fldChar w:fldCharType="begin"/>
            </w:r>
            <w:r w:rsidR="00F70AD5" w:rsidRPr="00805C22">
              <w:rPr>
                <w:webHidden/>
              </w:rPr>
              <w:instrText xml:space="preserve"> PAGEREF _Toc147242485 \h </w:instrText>
            </w:r>
            <w:r w:rsidR="00F70AD5" w:rsidRPr="00805C22">
              <w:rPr>
                <w:webHidden/>
              </w:rPr>
            </w:r>
            <w:r w:rsidR="00F70AD5" w:rsidRPr="00805C22">
              <w:rPr>
                <w:webHidden/>
              </w:rPr>
              <w:fldChar w:fldCharType="separate"/>
            </w:r>
            <w:r>
              <w:rPr>
                <w:webHidden/>
              </w:rPr>
              <w:t>199</w:t>
            </w:r>
            <w:r w:rsidR="00F70AD5" w:rsidRPr="00805C22">
              <w:rPr>
                <w:webHidden/>
              </w:rPr>
              <w:fldChar w:fldCharType="end"/>
            </w:r>
          </w:hyperlink>
        </w:p>
        <w:p w14:paraId="0354BDDB" w14:textId="638DBFE9" w:rsidR="00387D80" w:rsidRPr="00805C22" w:rsidRDefault="00DD3A53" w:rsidP="003C58C0">
          <w:pPr>
            <w:spacing w:line="360" w:lineRule="auto"/>
            <w:rPr>
              <w:noProof/>
              <w:lang w:val="pl-PL"/>
            </w:rPr>
          </w:pPr>
          <w:r w:rsidRPr="003A4371">
            <w:rPr>
              <w:noProof/>
            </w:rPr>
            <w:fldChar w:fldCharType="end"/>
          </w:r>
        </w:p>
      </w:sdtContent>
    </w:sdt>
    <w:bookmarkStart w:id="1" w:name="_Hlk98249392" w:displacedByCustomXml="prev"/>
    <w:p w14:paraId="4B17BAFF" w14:textId="77777777" w:rsidR="00805C22" w:rsidRDefault="00805C22" w:rsidP="003C58C0">
      <w:pPr>
        <w:spacing w:line="360" w:lineRule="auto"/>
        <w:rPr>
          <w:rFonts w:eastAsiaTheme="majorEastAsia" w:cstheme="majorBidi"/>
          <w:color w:val="003399"/>
          <w:sz w:val="26"/>
          <w:szCs w:val="26"/>
        </w:rPr>
      </w:pPr>
      <w:bookmarkStart w:id="2" w:name="_Toc147242359"/>
      <w:bookmarkEnd w:id="1"/>
      <w:r>
        <w:br w:type="page"/>
      </w:r>
    </w:p>
    <w:p w14:paraId="5520CC18" w14:textId="3DD5B89A" w:rsidR="0035094B" w:rsidRPr="002F64EA" w:rsidRDefault="0035094B" w:rsidP="003C58C0">
      <w:pPr>
        <w:pStyle w:val="Heading1"/>
        <w:spacing w:line="360" w:lineRule="auto"/>
      </w:pPr>
      <w:r w:rsidRPr="002F64EA">
        <w:lastRenderedPageBreak/>
        <w:t xml:space="preserve">I </w:t>
      </w:r>
      <w:r w:rsidR="00993A91" w:rsidRPr="002F64EA">
        <w:t>I</w:t>
      </w:r>
      <w:r w:rsidR="00A70D26" w:rsidRPr="002F64EA">
        <w:t>NTERREG SOUTH BALTIC PROGRAMME 2021 - 2027</w:t>
      </w:r>
      <w:bookmarkEnd w:id="2"/>
    </w:p>
    <w:p w14:paraId="36FD8C45" w14:textId="3862C9A9" w:rsidR="009A6F05" w:rsidRPr="002F64EA" w:rsidRDefault="009A6F05" w:rsidP="003C58C0">
      <w:pPr>
        <w:pStyle w:val="Heading2"/>
        <w:spacing w:line="360" w:lineRule="auto"/>
      </w:pPr>
      <w:bookmarkStart w:id="3" w:name="_Toc147242360"/>
      <w:r w:rsidRPr="002F64EA">
        <w:t xml:space="preserve">1 </w:t>
      </w:r>
      <w:r w:rsidR="00CE1F74">
        <w:t>GENERAL PROGRAMME INFORMATION</w:t>
      </w:r>
      <w:bookmarkEnd w:id="3"/>
    </w:p>
    <w:p w14:paraId="5E21F61D" w14:textId="28CE4544" w:rsidR="00FF76DB" w:rsidRPr="00805C22" w:rsidRDefault="007A42BC" w:rsidP="003C58C0">
      <w:pPr>
        <w:pStyle w:val="Heading3"/>
        <w:spacing w:line="360" w:lineRule="auto"/>
      </w:pPr>
      <w:bookmarkStart w:id="4" w:name="_Toc147242361"/>
      <w:r w:rsidRPr="00805C22">
        <w:t>1</w:t>
      </w:r>
      <w:r w:rsidR="00FB2E41" w:rsidRPr="00805C22">
        <w:t>.1</w:t>
      </w:r>
      <w:r w:rsidRPr="00805C22">
        <w:t xml:space="preserve"> </w:t>
      </w:r>
      <w:r w:rsidR="0009427D" w:rsidRPr="00805C22">
        <w:t>L</w:t>
      </w:r>
      <w:r w:rsidR="00A70D26" w:rsidRPr="00805C22">
        <w:t xml:space="preserve">egal </w:t>
      </w:r>
      <w:r w:rsidR="001F4EBB" w:rsidRPr="00805C22">
        <w:t>framework</w:t>
      </w:r>
      <w:bookmarkEnd w:id="4"/>
    </w:p>
    <w:p w14:paraId="441ADEE3" w14:textId="77777777" w:rsidR="0009427D" w:rsidRPr="00805C22" w:rsidRDefault="0009427D" w:rsidP="003C58C0">
      <w:pPr>
        <w:spacing w:line="360" w:lineRule="auto"/>
      </w:pPr>
      <w:r w:rsidRPr="00805C22">
        <w:t>The Interreg South Baltic Programme 2021-2027 is a multilateral cross-border cooperation programme between the coastal regions of five EU Member States: Germany, Denmark, Sweden, Lithuania, and Poland, implemented in the framework of the Interreg instrument of the European Union funded by the European Regional Development Fund (ERDF).</w:t>
      </w:r>
    </w:p>
    <w:p w14:paraId="70809142" w14:textId="5724AB9B" w:rsidR="00B559D2" w:rsidRDefault="0009427D" w:rsidP="003C58C0">
      <w:pPr>
        <w:spacing w:line="360" w:lineRule="auto"/>
        <w:rPr>
          <w:rFonts w:eastAsia="Open Sans" w:cs="Open Sans"/>
          <w:sz w:val="20"/>
          <w:szCs w:val="20"/>
        </w:rPr>
      </w:pPr>
      <w:r w:rsidRPr="00805C22">
        <w:t xml:space="preserve">The </w:t>
      </w:r>
      <w:hyperlink r:id="rId10" w:history="1">
        <w:r w:rsidRPr="00805C22">
          <w:t>Programme document</w:t>
        </w:r>
      </w:hyperlink>
      <w:r w:rsidRPr="00805C22">
        <w:t xml:space="preserve"> of the Interreg South Baltic Programme 2021-2027 was approved by the European Commission’s on 4th October 2022 (C(2022) 7184)</w:t>
      </w:r>
      <w:r w:rsidRPr="000E5F5D">
        <w:rPr>
          <w:rFonts w:eastAsia="Open Sans" w:cs="Open Sans"/>
          <w:sz w:val="20"/>
          <w:szCs w:val="20"/>
        </w:rPr>
        <w:t>.</w:t>
      </w:r>
    </w:p>
    <w:p w14:paraId="24C618C6" w14:textId="715305D5" w:rsidR="007C6CA4" w:rsidRDefault="00805C22" w:rsidP="003C58C0">
      <w:pPr>
        <w:spacing w:line="360" w:lineRule="auto"/>
      </w:pPr>
      <w:r w:rsidRPr="00805C22">
        <w:rPr>
          <w:noProof/>
        </w:rPr>
        <mc:AlternateContent>
          <mc:Choice Requires="wps">
            <w:drawing>
              <wp:inline distT="0" distB="0" distL="0" distR="0" wp14:anchorId="1913A0EF" wp14:editId="32491B50">
                <wp:extent cx="5783283" cy="997527"/>
                <wp:effectExtent l="0" t="0" r="27305" b="12700"/>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3283" cy="997527"/>
                        </a:xfrm>
                        <a:prstGeom prst="rect">
                          <a:avLst/>
                        </a:prstGeom>
                        <a:ln w="12700">
                          <a:solidFill>
                            <a:srgbClr val="003399"/>
                          </a:solidFill>
                          <a:prstDash val="solid"/>
                        </a:ln>
                      </wps:spPr>
                      <wps:txbx>
                        <w:txbxContent>
                          <w:p w14:paraId="360DB36F" w14:textId="77777777" w:rsidR="00805C22" w:rsidRPr="00805C22" w:rsidRDefault="00805C22" w:rsidP="00805C22">
                            <w:pPr>
                              <w:pStyle w:val="BodyText"/>
                              <w:rPr>
                                <w:rFonts w:ascii="Open Sans ExtraBold" w:eastAsia="Open Sans" w:hAnsi="Open Sans" w:cs="Open Sans"/>
                                <w:b/>
                                <w:color w:val="003399"/>
                                <w:spacing w:val="-2"/>
                                <w:sz w:val="24"/>
                              </w:rPr>
                            </w:pPr>
                            <w:r w:rsidRPr="00805C22">
                              <w:rPr>
                                <w:rFonts w:ascii="Open Sans ExtraBold" w:eastAsia="Open Sans" w:hAnsi="Open Sans" w:cs="Open Sans"/>
                                <w:b/>
                                <w:color w:val="003399"/>
                                <w:spacing w:val="-2"/>
                                <w:sz w:val="24"/>
                              </w:rPr>
                              <w:t xml:space="preserve">Note: </w:t>
                            </w:r>
                          </w:p>
                          <w:p w14:paraId="46A98B55" w14:textId="77777777" w:rsidR="00805C22" w:rsidRPr="00805C22" w:rsidRDefault="00805C22" w:rsidP="00805C22">
                            <w:pPr>
                              <w:pStyle w:val="BodyText"/>
                              <w:rPr>
                                <w:rFonts w:ascii="Open Sans" w:eastAsia="Open Sans" w:hAnsi="Open Sans" w:cs="Open Sans"/>
                                <w:color w:val="auto"/>
                                <w:sz w:val="24"/>
                                <w:lang w:eastAsia="en-US"/>
                              </w:rPr>
                            </w:pPr>
                            <w:r w:rsidRPr="00805C22">
                              <w:rPr>
                                <w:rFonts w:ascii="Open Sans" w:eastAsia="Open Sans" w:hAnsi="Open Sans" w:cs="Open Sans"/>
                                <w:color w:val="auto"/>
                                <w:sz w:val="24"/>
                                <w:lang w:eastAsia="en-US"/>
                              </w:rPr>
                              <w:t xml:space="preserve">Please note that provisions of the </w:t>
                            </w:r>
                            <w:hyperlink r:id="rId11" w:history="1">
                              <w:r w:rsidRPr="00805C22">
                                <w:rPr>
                                  <w:rFonts w:ascii="Open Sans ExtraBold" w:eastAsia="Open Sans" w:hAnsi="Open Sans" w:cs="Open Sans"/>
                                  <w:b/>
                                  <w:color w:val="003399"/>
                                  <w:spacing w:val="-2"/>
                                  <w:sz w:val="24"/>
                                </w:rPr>
                                <w:t>Programme document</w:t>
                              </w:r>
                            </w:hyperlink>
                            <w:r w:rsidRPr="00805C22">
                              <w:rPr>
                                <w:rFonts w:ascii="Open Sans ExtraBold" w:eastAsia="Open Sans" w:hAnsi="Open Sans" w:cs="Open Sans"/>
                                <w:b/>
                                <w:color w:val="003399"/>
                                <w:spacing w:val="-2"/>
                                <w:sz w:val="24"/>
                              </w:rPr>
                              <w:t xml:space="preserve"> </w:t>
                            </w:r>
                            <w:r w:rsidRPr="00805C22">
                              <w:rPr>
                                <w:rFonts w:ascii="Open Sans" w:eastAsia="Open Sans" w:hAnsi="Open Sans" w:cs="Open Sans"/>
                                <w:color w:val="auto"/>
                                <w:sz w:val="24"/>
                                <w:lang w:eastAsia="en-US"/>
                              </w:rPr>
                              <w:t>approved by the European Commission precede the present Programme Manual.</w:t>
                            </w:r>
                          </w:p>
                        </w:txbxContent>
                      </wps:txbx>
                      <wps:bodyPr wrap="square" lIns="0" tIns="0" rIns="0" bIns="0" rtlCol="0">
                        <a:noAutofit/>
                      </wps:bodyPr>
                    </wps:wsp>
                  </a:graphicData>
                </a:graphic>
              </wp:inline>
            </w:drawing>
          </mc:Choice>
          <mc:Fallback>
            <w:pict>
              <v:shapetype w14:anchorId="1913A0EF" id="_x0000_t202" coordsize="21600,21600" o:spt="202" path="m,l,21600r21600,l21600,xe">
                <v:stroke joinstyle="miter"/>
                <v:path gradientshapeok="t" o:connecttype="rect"/>
              </v:shapetype>
              <v:shape id="Textbox 114" o:spid="_x0000_s1028" type="#_x0000_t202" style="width:455.4pt;height:7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" filled="f" strokecolor="#039" strokeweight="1pt">
                <v:path arrowok="t"/>
                <v:textbox inset="0,0,0,0">
                  <w:txbxContent>
                    <w:p w14:paraId="360DB36F" w14:textId="77777777" w:rsidR="00805C22" w:rsidRPr="00805C22" w:rsidRDefault="00805C22" w:rsidP="00805C22">
                      <w:pPr>
                        <w:pStyle w:val="BodyText"/>
                        <w:rPr>
                          <w:rFonts w:ascii="Open Sans ExtraBold" w:eastAsia="Open Sans" w:hAnsi="Open Sans" w:cs="Open Sans"/>
                          <w:b/>
                          <w:color w:val="003399"/>
                          <w:spacing w:val="-2"/>
                          <w:sz w:val="24"/>
                        </w:rPr>
                      </w:pPr>
                      <w:r w:rsidRPr="00805C22">
                        <w:rPr>
                          <w:rFonts w:ascii="Open Sans ExtraBold" w:eastAsia="Open Sans" w:hAnsi="Open Sans" w:cs="Open Sans"/>
                          <w:b/>
                          <w:color w:val="003399"/>
                          <w:spacing w:val="-2"/>
                          <w:sz w:val="24"/>
                        </w:rPr>
                        <w:t xml:space="preserve">Note: </w:t>
                      </w:r>
                    </w:p>
                    <w:p w14:paraId="46A98B55" w14:textId="77777777" w:rsidR="00805C22" w:rsidRPr="00805C22" w:rsidRDefault="00805C22" w:rsidP="00805C22">
                      <w:pPr>
                        <w:pStyle w:val="BodyText"/>
                        <w:rPr>
                          <w:rFonts w:ascii="Open Sans" w:eastAsia="Open Sans" w:hAnsi="Open Sans" w:cs="Open Sans"/>
                          <w:color w:val="auto"/>
                          <w:sz w:val="24"/>
                          <w:lang w:eastAsia="en-US"/>
                        </w:rPr>
                      </w:pPr>
                      <w:r w:rsidRPr="00805C22">
                        <w:rPr>
                          <w:rFonts w:ascii="Open Sans" w:eastAsia="Open Sans" w:hAnsi="Open Sans" w:cs="Open Sans"/>
                          <w:color w:val="auto"/>
                          <w:sz w:val="24"/>
                          <w:lang w:eastAsia="en-US"/>
                        </w:rPr>
                        <w:t xml:space="preserve">Please note that provisions of the </w:t>
                      </w:r>
                      <w:hyperlink r:id="rId12" w:history="1">
                        <w:r w:rsidRPr="00805C22">
                          <w:rPr>
                            <w:rFonts w:ascii="Open Sans ExtraBold" w:eastAsia="Open Sans" w:hAnsi="Open Sans" w:cs="Open Sans"/>
                            <w:b/>
                            <w:color w:val="003399"/>
                            <w:spacing w:val="-2"/>
                            <w:sz w:val="24"/>
                          </w:rPr>
                          <w:t>Programme document</w:t>
                        </w:r>
                      </w:hyperlink>
                      <w:r w:rsidRPr="00805C22">
                        <w:rPr>
                          <w:rFonts w:ascii="Open Sans ExtraBold" w:eastAsia="Open Sans" w:hAnsi="Open Sans" w:cs="Open Sans"/>
                          <w:b/>
                          <w:color w:val="003399"/>
                          <w:spacing w:val="-2"/>
                          <w:sz w:val="24"/>
                        </w:rPr>
                        <w:t xml:space="preserve"> </w:t>
                      </w:r>
                      <w:r w:rsidRPr="00805C22">
                        <w:rPr>
                          <w:rFonts w:ascii="Open Sans" w:eastAsia="Open Sans" w:hAnsi="Open Sans" w:cs="Open Sans"/>
                          <w:color w:val="auto"/>
                          <w:sz w:val="24"/>
                          <w:lang w:eastAsia="en-US"/>
                        </w:rPr>
                        <w:t>approved by the European Commission precede the present Programme Manual.</w:t>
                      </w:r>
                    </w:p>
                  </w:txbxContent>
                </v:textbox>
                <w10:anchorlock/>
              </v:shape>
            </w:pict>
          </mc:Fallback>
        </mc:AlternateContent>
      </w:r>
    </w:p>
    <w:p w14:paraId="7064C85D" w14:textId="292E4E5A" w:rsidR="0009427D" w:rsidRPr="0093369F" w:rsidRDefault="0009427D" w:rsidP="003C58C0">
      <w:pPr>
        <w:spacing w:line="360" w:lineRule="auto"/>
      </w:pPr>
      <w:r w:rsidRPr="0093369F">
        <w:t>The following legal documents frame among others the implementation of the Interreg South Baltic Programme 2021-2027:</w:t>
      </w:r>
    </w:p>
    <w:p w14:paraId="547C4916" w14:textId="77777777" w:rsidR="0093369F" w:rsidRDefault="0009427D" w:rsidP="003C58C0">
      <w:pPr>
        <w:pStyle w:val="ListParagraph"/>
        <w:numPr>
          <w:ilvl w:val="0"/>
          <w:numId w:val="30"/>
        </w:numPr>
        <w:spacing w:line="360" w:lineRule="auto"/>
      </w:pPr>
      <w:r w:rsidRPr="0093369F">
        <w:t>Regulation (EU) 2021/1058 of the European parliament and of the Council of 24 June 2021 on the European Regional Development Fund and on the Cohesion Fund.</w:t>
      </w:r>
    </w:p>
    <w:p w14:paraId="2D905577" w14:textId="77777777" w:rsidR="0093369F" w:rsidRDefault="0009427D" w:rsidP="003C58C0">
      <w:pPr>
        <w:pStyle w:val="ListParagraph"/>
        <w:numPr>
          <w:ilvl w:val="0"/>
          <w:numId w:val="30"/>
        </w:numPr>
        <w:spacing w:line="360" w:lineRule="auto"/>
      </w:pPr>
      <w:r w:rsidRPr="0093369F">
        <w:t>Regulation (EU) 2021/1059 of the European parliament and of the Council of 24 June 2021 on specific provisions for the European territorial cooperation goal (Interreg) supported by the European Regional Development Fund and external financing instruments.</w:t>
      </w:r>
    </w:p>
    <w:p w14:paraId="05FD8BA7" w14:textId="77777777" w:rsidR="0093369F" w:rsidRDefault="0009427D" w:rsidP="003C58C0">
      <w:pPr>
        <w:pStyle w:val="ListParagraph"/>
        <w:numPr>
          <w:ilvl w:val="0"/>
          <w:numId w:val="30"/>
        </w:numPr>
        <w:spacing w:line="360" w:lineRule="auto"/>
      </w:pPr>
      <w:r w:rsidRPr="0093369F">
        <w:t xml:space="preserve">Regulation (EU) 2021/1060 of the European parliament and of the Council of 24 June 2021 laying down common provisions on the European Regional </w:t>
      </w:r>
      <w:r w:rsidRPr="0093369F">
        <w:lastRenderedPageBreak/>
        <w:t>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00F24C0" w14:textId="77777777" w:rsidR="0093369F" w:rsidRDefault="0009427D" w:rsidP="003C58C0">
      <w:pPr>
        <w:pStyle w:val="ListParagraph"/>
        <w:numPr>
          <w:ilvl w:val="0"/>
          <w:numId w:val="30"/>
        </w:numPr>
        <w:spacing w:line="360" w:lineRule="auto"/>
      </w:pPr>
      <w:r w:rsidRPr="0093369F">
        <w:t>Interreg South Baltic Programme 2021-2027 document approved by the European Commission on 4 October 2022.</w:t>
      </w:r>
    </w:p>
    <w:p w14:paraId="4F0BD0BF" w14:textId="77777777" w:rsidR="0093369F" w:rsidRDefault="0009427D" w:rsidP="003C58C0">
      <w:pPr>
        <w:pStyle w:val="ListParagraph"/>
        <w:numPr>
          <w:ilvl w:val="0"/>
          <w:numId w:val="30"/>
        </w:numPr>
        <w:spacing w:line="360" w:lineRule="auto"/>
      </w:pPr>
      <w:r w:rsidRPr="0093369F">
        <w:t>Regulation (EU) 2020/852 on establishing a framework to facilitate sustainable investment and amending Regulation (EU) 2019/2088.</w:t>
      </w:r>
    </w:p>
    <w:p w14:paraId="709A20A5" w14:textId="77777777" w:rsidR="0093369F" w:rsidRDefault="0009427D" w:rsidP="003C58C0">
      <w:pPr>
        <w:pStyle w:val="ListParagraph"/>
        <w:numPr>
          <w:ilvl w:val="0"/>
          <w:numId w:val="30"/>
        </w:numPr>
        <w:spacing w:line="360" w:lineRule="auto"/>
      </w:pPr>
      <w:r w:rsidRPr="0093369F">
        <w:t>Regulation (EU, Euratom) No 966/2012, providing the financial rules applicable to the general budget of the Union.</w:t>
      </w:r>
    </w:p>
    <w:p w14:paraId="1435DB22" w14:textId="77777777" w:rsidR="0093369F" w:rsidRDefault="0009427D" w:rsidP="003C58C0">
      <w:pPr>
        <w:pStyle w:val="ListParagraph"/>
        <w:numPr>
          <w:ilvl w:val="0"/>
          <w:numId w:val="30"/>
        </w:numPr>
        <w:spacing w:line="360" w:lineRule="auto"/>
      </w:pPr>
      <w:r w:rsidRPr="0093369F">
        <w:t>Regulation (EU) 2016/679 of the European Parliament and of the Council of 27 April 2016 on the protection of natural persons with regard to the processing of personal data and on the free movement of such data and repealing Directive 95/46/EC (Official Journal of the European Union L 119 of 4/5/2016 page 1–88).</w:t>
      </w:r>
    </w:p>
    <w:p w14:paraId="321AB53E" w14:textId="77777777" w:rsidR="0093369F" w:rsidRDefault="0009427D" w:rsidP="003C58C0">
      <w:pPr>
        <w:pStyle w:val="ListParagraph"/>
        <w:numPr>
          <w:ilvl w:val="0"/>
          <w:numId w:val="30"/>
        </w:numPr>
        <w:spacing w:line="360" w:lineRule="auto"/>
      </w:pPr>
      <w:r w:rsidRPr="0093369F">
        <w:t>Regulation (EU) No 1302/2013 of the European Parliament and of the Council of 17 December 2013 amending Regulation (EC) No 1082/2006 on a European grouping of territorial cooperation (EGTC) as regards the clarification, simplification and improvement of the establishment and functioning of such groupings.</w:t>
      </w:r>
    </w:p>
    <w:p w14:paraId="68864907" w14:textId="77777777" w:rsidR="0093369F" w:rsidRDefault="0009427D" w:rsidP="003C58C0">
      <w:pPr>
        <w:pStyle w:val="ListParagraph"/>
        <w:numPr>
          <w:ilvl w:val="0"/>
          <w:numId w:val="30"/>
        </w:numPr>
        <w:spacing w:line="360" w:lineRule="auto"/>
      </w:pPr>
      <w:r w:rsidRPr="0093369F">
        <w:t>Regulation (EU, Euratom) 2018/1046 of the European Parliament and of the Council of 18 July 2018 on the financial rules applicable to the general budget of the Union and the Guidance on the avoidance and management of conflicts of interest under the Financial Regulation (2021/C 121/01).</w:t>
      </w:r>
      <w:bookmarkStart w:id="5" w:name="_Hlk143252508"/>
    </w:p>
    <w:p w14:paraId="0F83A15B" w14:textId="77777777" w:rsidR="0093369F" w:rsidRDefault="0009427D" w:rsidP="003C58C0">
      <w:pPr>
        <w:pStyle w:val="ListParagraph"/>
        <w:numPr>
          <w:ilvl w:val="0"/>
          <w:numId w:val="30"/>
        </w:numPr>
        <w:spacing w:line="360" w:lineRule="auto"/>
      </w:pPr>
      <w:r w:rsidRPr="0093369F">
        <w:lastRenderedPageBreak/>
        <w:t>Commission Regulation (EU) No 651/2014 of 17 June 2014 declaring certain categories of aid compatible with the internal market in application of Articles 107 and 108 of the Treaty (hereinafter, ‘GBER’).</w:t>
      </w:r>
      <w:bookmarkEnd w:id="5"/>
    </w:p>
    <w:p w14:paraId="1DE8C700" w14:textId="77777777" w:rsidR="0093369F" w:rsidRDefault="0009427D" w:rsidP="003C58C0">
      <w:pPr>
        <w:pStyle w:val="ListParagraph"/>
        <w:numPr>
          <w:ilvl w:val="0"/>
          <w:numId w:val="30"/>
        </w:numPr>
        <w:spacing w:line="360" w:lineRule="auto"/>
      </w:pPr>
      <w:r w:rsidRPr="0093369F">
        <w:t>Commission Regulation (EU) No 1407/2013 of 18 December 2013 on the application of Articles 107 and 108 of the Treaty on the Functioning of the European Union to de minimis aid.</w:t>
      </w:r>
    </w:p>
    <w:p w14:paraId="0691CDAC" w14:textId="77777777" w:rsidR="0093369F" w:rsidRDefault="0009427D" w:rsidP="003C58C0">
      <w:pPr>
        <w:pStyle w:val="ListParagraph"/>
        <w:numPr>
          <w:ilvl w:val="0"/>
          <w:numId w:val="30"/>
        </w:numPr>
        <w:spacing w:line="360" w:lineRule="auto"/>
      </w:pPr>
      <w:r w:rsidRPr="0093369F">
        <w:t>Application Pack and other Programme documents.</w:t>
      </w:r>
    </w:p>
    <w:p w14:paraId="0D0676B2" w14:textId="34B45E48" w:rsidR="0009427D" w:rsidRPr="0093369F" w:rsidRDefault="0009427D" w:rsidP="003C58C0">
      <w:pPr>
        <w:pStyle w:val="ListParagraph"/>
        <w:numPr>
          <w:ilvl w:val="0"/>
          <w:numId w:val="30"/>
        </w:numPr>
        <w:spacing w:line="360" w:lineRule="auto"/>
      </w:pPr>
      <w:r w:rsidRPr="0093369F">
        <w:t xml:space="preserve">Applicable national legal acts and regulations. </w:t>
      </w:r>
    </w:p>
    <w:p w14:paraId="35324AAC" w14:textId="2C10E89B" w:rsidR="00923152" w:rsidRPr="0093369F" w:rsidRDefault="0009427D" w:rsidP="003C58C0">
      <w:pPr>
        <w:spacing w:line="360" w:lineRule="auto"/>
      </w:pPr>
      <w:r w:rsidRPr="0093369F">
        <w:t>Please note that also all other relevant EU and national legislation may be applicable.</w:t>
      </w:r>
    </w:p>
    <w:p w14:paraId="2DBC2955" w14:textId="315EAC70" w:rsidR="00296419" w:rsidRPr="00BD4290" w:rsidRDefault="00296419" w:rsidP="003C58C0">
      <w:pPr>
        <w:pStyle w:val="Heading3"/>
        <w:spacing w:line="360" w:lineRule="auto"/>
      </w:pPr>
      <w:bookmarkStart w:id="6" w:name="_Toc147242362"/>
      <w:r w:rsidRPr="00BD4290">
        <w:t xml:space="preserve">1.2 </w:t>
      </w:r>
      <w:r w:rsidR="00674BE1">
        <w:t>N</w:t>
      </w:r>
      <w:r w:rsidR="00674BE1" w:rsidRPr="00BD4290">
        <w:t xml:space="preserve">ew generation of the </w:t>
      </w:r>
      <w:r w:rsidR="00674BE1">
        <w:t>P</w:t>
      </w:r>
      <w:r w:rsidR="00674BE1" w:rsidRPr="00BD4290">
        <w:t>rogramme</w:t>
      </w:r>
      <w:bookmarkEnd w:id="6"/>
    </w:p>
    <w:p w14:paraId="4EBA7EED" w14:textId="1FB84A18" w:rsidR="00923152" w:rsidRPr="0093369F" w:rsidRDefault="004F49C6" w:rsidP="003C58C0">
      <w:pPr>
        <w:spacing w:line="360" w:lineRule="auto"/>
      </w:pPr>
      <w:r w:rsidRPr="0093369F">
        <w:t xml:space="preserve">After more than 30 years of implementing territorial cooperation in the European Union, </w:t>
      </w:r>
      <w:r w:rsidR="000F39B0" w:rsidRPr="0093369F">
        <w:t xml:space="preserve">the </w:t>
      </w:r>
      <w:r w:rsidRPr="0093369F">
        <w:t>Interreg program</w:t>
      </w:r>
      <w:r w:rsidR="009D250F" w:rsidRPr="0093369F">
        <w:t>me</w:t>
      </w:r>
      <w:r w:rsidRPr="0093369F">
        <w:t xml:space="preserve">s </w:t>
      </w:r>
      <w:r w:rsidR="000F39B0" w:rsidRPr="0093369F">
        <w:t xml:space="preserve">have </w:t>
      </w:r>
      <w:r w:rsidR="00F93BBC" w:rsidRPr="0093369F">
        <w:t>enter</w:t>
      </w:r>
      <w:r w:rsidR="000F39B0" w:rsidRPr="0093369F">
        <w:t>ed</w:t>
      </w:r>
      <w:r w:rsidR="00F93BBC" w:rsidRPr="0093369F">
        <w:t xml:space="preserve"> the new generation</w:t>
      </w:r>
      <w:r w:rsidRPr="0093369F">
        <w:t xml:space="preserve"> for 2021</w:t>
      </w:r>
      <w:r w:rsidR="006910EC" w:rsidRPr="0093369F">
        <w:t>–</w:t>
      </w:r>
      <w:r w:rsidRPr="0093369F">
        <w:t xml:space="preserve">2027. </w:t>
      </w:r>
      <w:r w:rsidR="00DE11F7" w:rsidRPr="0093369F">
        <w:t xml:space="preserve">Similar to previous years, the cross-border cooperation tackles common challenges identified jointly in the border regions to exploit the untapped growth potential in </w:t>
      </w:r>
      <w:r w:rsidR="000F39B0" w:rsidRPr="0093369F">
        <w:t xml:space="preserve">these </w:t>
      </w:r>
      <w:r w:rsidR="00DE11F7" w:rsidRPr="0093369F">
        <w:t xml:space="preserve">areas. </w:t>
      </w:r>
    </w:p>
    <w:p w14:paraId="1D71846D" w14:textId="49EB8C81" w:rsidR="00BD4290" w:rsidRPr="00BD4290" w:rsidRDefault="00FB2E41" w:rsidP="003C58C0">
      <w:pPr>
        <w:pStyle w:val="Heading3"/>
        <w:spacing w:line="360" w:lineRule="auto"/>
      </w:pPr>
      <w:bookmarkStart w:id="7" w:name="_Toc147242363"/>
      <w:r w:rsidRPr="00BD4290">
        <w:t>1.</w:t>
      </w:r>
      <w:r w:rsidR="00296419" w:rsidRPr="00BD4290">
        <w:t>3</w:t>
      </w:r>
      <w:r w:rsidR="007A42BC" w:rsidRPr="00BD4290">
        <w:t xml:space="preserve"> </w:t>
      </w:r>
      <w:r w:rsidR="00674BE1">
        <w:t>O</w:t>
      </w:r>
      <w:r w:rsidR="00674BE1" w:rsidRPr="00BD4290">
        <w:t xml:space="preserve">verall vision of the </w:t>
      </w:r>
      <w:r w:rsidR="00674BE1">
        <w:t>S</w:t>
      </w:r>
      <w:r w:rsidR="00674BE1" w:rsidRPr="00BD4290">
        <w:t xml:space="preserve">outh </w:t>
      </w:r>
      <w:r w:rsidR="00674BE1">
        <w:t>B</w:t>
      </w:r>
      <w:r w:rsidR="00674BE1" w:rsidRPr="00BD4290">
        <w:t>altic area</w:t>
      </w:r>
      <w:bookmarkEnd w:id="7"/>
    </w:p>
    <w:p w14:paraId="2B451299" w14:textId="21CCE891" w:rsidR="00470636" w:rsidRPr="0093369F" w:rsidRDefault="005A681D" w:rsidP="003C58C0">
      <w:pPr>
        <w:spacing w:line="360" w:lineRule="auto"/>
      </w:pPr>
      <w:r w:rsidRPr="0093369F">
        <w:t>Maritime cooperation</w:t>
      </w:r>
      <w:r w:rsidR="00CB0EF6" w:rsidRPr="0093369F">
        <w:t xml:space="preserve"> in t</w:t>
      </w:r>
      <w:r w:rsidR="006C0DFF" w:rsidRPr="0093369F">
        <w:t>he South Baltic</w:t>
      </w:r>
      <w:r w:rsidR="00CB0EF6" w:rsidRPr="0093369F">
        <w:t xml:space="preserve"> </w:t>
      </w:r>
      <w:r w:rsidR="00EE2D31" w:rsidRPr="0093369F">
        <w:t>area</w:t>
      </w:r>
      <w:r w:rsidR="00CB0EF6" w:rsidRPr="0093369F">
        <w:t xml:space="preserve"> is based on joint challenges and opportunities strongly connected with a common natural resource </w:t>
      </w:r>
      <w:r w:rsidR="00C32F77" w:rsidRPr="0093369F">
        <w:t>–</w:t>
      </w:r>
      <w:r w:rsidR="00CB0EF6" w:rsidRPr="0093369F">
        <w:t xml:space="preserve"> </w:t>
      </w:r>
      <w:r w:rsidR="00CB0EF6" w:rsidRPr="0099535F">
        <w:rPr>
          <w:rFonts w:ascii="Open Sans SemiBold" w:eastAsia="Open Sans SemiBold" w:hAnsi="Open Sans SemiBold" w:cs="Open Sans SemiBold"/>
          <w:bCs/>
          <w:color w:val="003399"/>
        </w:rPr>
        <w:t>the Baltic Sea.</w:t>
      </w:r>
      <w:r w:rsidR="00CB0EF6" w:rsidRPr="0093369F">
        <w:t xml:space="preserve"> The regions of the </w:t>
      </w:r>
      <w:r w:rsidR="00502A73" w:rsidRPr="0093369F">
        <w:t>P</w:t>
      </w:r>
      <w:r w:rsidR="00CB0EF6" w:rsidRPr="0093369F">
        <w:t xml:space="preserve">rogramme have very strong historical roots of cooperation, </w:t>
      </w:r>
      <w:r w:rsidR="00EE2D31" w:rsidRPr="0093369F">
        <w:t xml:space="preserve">which nowadays </w:t>
      </w:r>
      <w:r w:rsidR="00CB0EF6" w:rsidRPr="0093369F">
        <w:t xml:space="preserve">is an important background for sustainable regional growth. </w:t>
      </w:r>
      <w:r w:rsidR="00EE2D31" w:rsidRPr="0093369F">
        <w:t>T</w:t>
      </w:r>
      <w:r w:rsidR="00470636" w:rsidRPr="0093369F">
        <w:t>h</w:t>
      </w:r>
      <w:r w:rsidR="00EE7D8B" w:rsidRPr="0093369F">
        <w:t>e potential of cooperative networks is strengthen</w:t>
      </w:r>
      <w:r w:rsidR="000473AD" w:rsidRPr="0093369F">
        <w:t>ed</w:t>
      </w:r>
      <w:r w:rsidR="00EE7D8B" w:rsidRPr="0093369F">
        <w:t xml:space="preserve"> by common assets </w:t>
      </w:r>
      <w:r w:rsidR="000473AD" w:rsidRPr="0093369F">
        <w:t xml:space="preserve">such </w:t>
      </w:r>
      <w:r w:rsidR="00EE7D8B" w:rsidRPr="0093369F">
        <w:t xml:space="preserve">as knowledge-intensive services and </w:t>
      </w:r>
      <w:r w:rsidR="000473AD" w:rsidRPr="0093369F">
        <w:t>research-</w:t>
      </w:r>
      <w:r w:rsidR="00EE7D8B" w:rsidRPr="0093369F">
        <w:t xml:space="preserve">intensive industries, the availability of businesses investing in and promoting clean, </w:t>
      </w:r>
      <w:r w:rsidR="000473AD" w:rsidRPr="0093369F">
        <w:t>energy-</w:t>
      </w:r>
      <w:r w:rsidR="00EE7D8B" w:rsidRPr="0093369F">
        <w:t>efficient technologies, and the untapped resource of tertiary education graduates. At the same time, there are still considerable disparities in socio-</w:t>
      </w:r>
      <w:r w:rsidR="00EE7D8B" w:rsidRPr="0093369F">
        <w:lastRenderedPageBreak/>
        <w:t>economic characteristics, with visible urban-rural and west-east divides in the economic attainment of the SMEs, innovation capacity in the regions, demographic, migration</w:t>
      </w:r>
      <w:r w:rsidR="00B3710B" w:rsidRPr="0093369F">
        <w:t>,</w:t>
      </w:r>
      <w:r w:rsidR="00EE7D8B" w:rsidRPr="0093369F">
        <w:t xml:space="preserve"> and labour market trends</w:t>
      </w:r>
      <w:r w:rsidR="000473AD" w:rsidRPr="0093369F">
        <w:t>, and</w:t>
      </w:r>
      <w:r w:rsidR="00EE7D8B" w:rsidRPr="0093369F">
        <w:t xml:space="preserve"> mobility patterns that need to be addressed by joint actions across borders, which </w:t>
      </w:r>
      <w:r w:rsidR="000473AD" w:rsidRPr="0093369F">
        <w:t xml:space="preserve">were </w:t>
      </w:r>
      <w:r w:rsidR="00EE7D8B" w:rsidRPr="0093369F">
        <w:t>indicated in previous editions.</w:t>
      </w:r>
    </w:p>
    <w:p w14:paraId="32E73EDC" w14:textId="3141163A" w:rsidR="008235E9" w:rsidRPr="0093369F" w:rsidRDefault="001145A7" w:rsidP="003C58C0">
      <w:pPr>
        <w:spacing w:line="360" w:lineRule="auto"/>
      </w:pPr>
      <w:r w:rsidRPr="0093369F">
        <w:t>Previous editions emphasi</w:t>
      </w:r>
      <w:r w:rsidR="004C3F0F" w:rsidRPr="0093369F">
        <w:t>s</w:t>
      </w:r>
      <w:r w:rsidRPr="0093369F">
        <w:t xml:space="preserve">ed the local character of the programme, which was reflected in its motto: </w:t>
      </w:r>
      <w:r w:rsidR="00F67EE9" w:rsidRPr="0093369F">
        <w:rPr>
          <w:rFonts w:ascii="Open Sans ExtraBold"/>
          <w:b/>
          <w:color w:val="003399"/>
          <w:spacing w:val="-2"/>
        </w:rPr>
        <w:t>‘</w:t>
      </w:r>
      <w:r w:rsidR="00502A73" w:rsidRPr="0099535F">
        <w:rPr>
          <w:rFonts w:ascii="Open Sans SemiBold" w:eastAsia="Open Sans SemiBold" w:hAnsi="Open Sans SemiBold" w:cs="Open Sans SemiBold"/>
          <w:bCs/>
          <w:color w:val="003399"/>
        </w:rPr>
        <w:t>Going local. Meeting your needs. Connecting people and ideas</w:t>
      </w:r>
      <w:r w:rsidR="00F67EE9" w:rsidRPr="0099535F">
        <w:rPr>
          <w:rFonts w:ascii="Open Sans SemiBold" w:eastAsia="Open Sans SemiBold" w:hAnsi="Open Sans SemiBold" w:cs="Open Sans SemiBold"/>
          <w:bCs/>
          <w:color w:val="003399"/>
        </w:rPr>
        <w:t>’</w:t>
      </w:r>
      <w:r w:rsidR="00502A73" w:rsidRPr="0099535F">
        <w:rPr>
          <w:rFonts w:ascii="Open Sans SemiBold" w:eastAsia="Open Sans SemiBold" w:hAnsi="Open Sans SemiBold" w:cs="Open Sans SemiBold"/>
          <w:bCs/>
          <w:color w:val="003399"/>
        </w:rPr>
        <w:t>.</w:t>
      </w:r>
      <w:r w:rsidRPr="0099535F">
        <w:rPr>
          <w:rFonts w:ascii="Open Sans SemiBold" w:eastAsia="Open Sans SemiBold" w:hAnsi="Open Sans SemiBold" w:cs="Open Sans SemiBold"/>
          <w:bCs/>
          <w:color w:val="003399"/>
        </w:rPr>
        <w:t xml:space="preserve"> </w:t>
      </w:r>
      <w:r w:rsidRPr="0093369F">
        <w:t>Since 2007</w:t>
      </w:r>
      <w:r w:rsidR="000473AD" w:rsidRPr="0093369F">
        <w:t>,</w:t>
      </w:r>
      <w:r w:rsidRPr="0093369F">
        <w:t xml:space="preserve"> </w:t>
      </w:r>
      <w:r w:rsidR="00CB0EF6" w:rsidRPr="0093369F">
        <w:t xml:space="preserve">the networks </w:t>
      </w:r>
      <w:r w:rsidR="00502A73" w:rsidRPr="0093369F">
        <w:t xml:space="preserve">created by beneficiaries </w:t>
      </w:r>
      <w:r w:rsidR="00CB0EF6" w:rsidRPr="0093369F">
        <w:t>were strengthened to make the potential of the area more visible in the European context</w:t>
      </w:r>
      <w:r w:rsidR="000473AD" w:rsidRPr="0093369F">
        <w:t>,</w:t>
      </w:r>
      <w:r w:rsidR="00CB0EF6" w:rsidRPr="0093369F">
        <w:t xml:space="preserve"> and the Programme itself took </w:t>
      </w:r>
      <w:r w:rsidR="000473AD" w:rsidRPr="0093369F">
        <w:t xml:space="preserve">on </w:t>
      </w:r>
      <w:r w:rsidR="00CB0EF6" w:rsidRPr="0093369F">
        <w:t xml:space="preserve">more strategic and focused approach </w:t>
      </w:r>
      <w:r w:rsidR="00B7310E" w:rsidRPr="0093369F">
        <w:t>to</w:t>
      </w:r>
      <w:r w:rsidR="00CB0EF6" w:rsidRPr="0093369F">
        <w:t xml:space="preserve"> support the </w:t>
      </w:r>
      <w:r w:rsidR="00502A73" w:rsidRPr="0093369F">
        <w:t>blue and green economy</w:t>
      </w:r>
      <w:r w:rsidR="005A7CEB" w:rsidRPr="0093369F">
        <w:t xml:space="preserve"> </w:t>
      </w:r>
      <w:r w:rsidR="000473AD" w:rsidRPr="0093369F">
        <w:t xml:space="preserve">at </w:t>
      </w:r>
      <w:r w:rsidR="005A7CEB" w:rsidRPr="0093369F">
        <w:t>a very local level</w:t>
      </w:r>
      <w:r w:rsidR="00CB0EF6" w:rsidRPr="0093369F">
        <w:t>.</w:t>
      </w:r>
      <w:r w:rsidR="00470636" w:rsidRPr="0093369F">
        <w:t xml:space="preserve"> </w:t>
      </w:r>
    </w:p>
    <w:p w14:paraId="1F9ADE94" w14:textId="625DF49C" w:rsidR="00F345D5" w:rsidRPr="0093369F" w:rsidRDefault="00EE7D8B" w:rsidP="003C58C0">
      <w:pPr>
        <w:spacing w:line="360" w:lineRule="auto"/>
      </w:pPr>
      <w:r w:rsidRPr="0093369F">
        <w:t>Taking it all into consideration, the vision for the South Baltic Programme</w:t>
      </w:r>
      <w:r w:rsidR="001145A7" w:rsidRPr="0093369F">
        <w:t xml:space="preserve"> 2021</w:t>
      </w:r>
      <w:r w:rsidR="006910EC" w:rsidRPr="0093369F">
        <w:t>–</w:t>
      </w:r>
      <w:r w:rsidR="001145A7" w:rsidRPr="0093369F">
        <w:t>2027</w:t>
      </w:r>
      <w:r w:rsidRPr="0093369F">
        <w:t xml:space="preserve"> is:</w:t>
      </w:r>
    </w:p>
    <w:p w14:paraId="212AA5EE" w14:textId="7D369C47" w:rsidR="00EE7D8B" w:rsidRPr="0093369F" w:rsidRDefault="00F67EE9" w:rsidP="003C58C0">
      <w:pPr>
        <w:spacing w:line="360" w:lineRule="auto"/>
      </w:pPr>
      <w:r w:rsidRPr="008C2DEE">
        <w:rPr>
          <w:rFonts w:ascii="Open Sans SemiBold" w:eastAsia="Open Sans SemiBold" w:hAnsi="Open Sans SemiBold" w:cs="Open Sans SemiBold"/>
          <w:bCs/>
          <w:color w:val="003399"/>
        </w:rPr>
        <w:t>‘</w:t>
      </w:r>
      <w:r w:rsidR="00EE7D8B" w:rsidRPr="008C2DEE">
        <w:rPr>
          <w:rFonts w:ascii="Open Sans SemiBold" w:eastAsia="Open Sans SemiBold" w:hAnsi="Open Sans SemiBold" w:cs="Open Sans SemiBold"/>
          <w:bCs/>
          <w:color w:val="003399"/>
        </w:rPr>
        <w:t>Innovative</w:t>
      </w:r>
      <w:r w:rsidRPr="008C2DEE">
        <w:rPr>
          <w:rFonts w:ascii="Open Sans SemiBold" w:eastAsia="Open Sans SemiBold" w:hAnsi="Open Sans SemiBold" w:cs="Open Sans SemiBold"/>
          <w:bCs/>
          <w:color w:val="003399"/>
        </w:rPr>
        <w:t>’</w:t>
      </w:r>
      <w:r w:rsidR="00EE7D8B" w:rsidRPr="00D20C32">
        <w:rPr>
          <w:rFonts w:ascii="Open Sans ExtraBold"/>
          <w:b/>
          <w:color w:val="003399"/>
          <w:spacing w:val="-2"/>
        </w:rPr>
        <w:t xml:space="preserve"> </w:t>
      </w:r>
      <w:r w:rsidR="00EE7D8B" w:rsidRPr="0093369F">
        <w:t>– describes an approach to economic growth that utilises the endogenous potential of the SBA (</w:t>
      </w:r>
      <w:r w:rsidR="003356BC" w:rsidRPr="0093369F">
        <w:t>e.g.,</w:t>
      </w:r>
      <w:r w:rsidR="00EE7D8B" w:rsidRPr="0093369F">
        <w:t xml:space="preserve"> number of research institutions, </w:t>
      </w:r>
      <w:r w:rsidR="003356BC" w:rsidRPr="0093369F">
        <w:t>universities,</w:t>
      </w:r>
      <w:r w:rsidR="00EE7D8B" w:rsidRPr="0093369F">
        <w:t xml:space="preserve"> and modern enterprises)</w:t>
      </w:r>
      <w:r w:rsidR="00532B73" w:rsidRPr="0093369F">
        <w:t xml:space="preserve"> for </w:t>
      </w:r>
      <w:r w:rsidR="00EE7D8B" w:rsidRPr="0093369F">
        <w:t xml:space="preserve">the </w:t>
      </w:r>
      <w:r w:rsidR="00070747" w:rsidRPr="0093369F">
        <w:t xml:space="preserve">SBA’s </w:t>
      </w:r>
      <w:r w:rsidR="00EE7D8B" w:rsidRPr="0093369F">
        <w:t xml:space="preserve">most important sectors, </w:t>
      </w:r>
      <w:r w:rsidR="00070747" w:rsidRPr="0093369F">
        <w:t>including</w:t>
      </w:r>
      <w:r w:rsidR="00EE7D8B" w:rsidRPr="0093369F">
        <w:t xml:space="preserve"> energy, food</w:t>
      </w:r>
      <w:r w:rsidR="00BE769E" w:rsidRPr="0093369F">
        <w:t>, transportation etc; the approach is highly</w:t>
      </w:r>
      <w:r w:rsidR="00EE7D8B" w:rsidRPr="0093369F">
        <w:t xml:space="preserve"> desirable </w:t>
      </w:r>
      <w:r w:rsidR="00BE769E" w:rsidRPr="0093369F">
        <w:t>in the sectors of tourism and culture as well as other branches.</w:t>
      </w:r>
    </w:p>
    <w:p w14:paraId="3D97DB84" w14:textId="333FC658" w:rsidR="004030C4" w:rsidRPr="0093369F" w:rsidRDefault="00F67EE9" w:rsidP="003C58C0">
      <w:pPr>
        <w:spacing w:line="360" w:lineRule="auto"/>
      </w:pPr>
      <w:r w:rsidRPr="008C2DEE">
        <w:rPr>
          <w:rFonts w:ascii="Open Sans SemiBold" w:eastAsia="Open Sans SemiBold" w:hAnsi="Open Sans SemiBold" w:cs="Open Sans SemiBold"/>
          <w:bCs/>
          <w:color w:val="003399"/>
        </w:rPr>
        <w:t>‘</w:t>
      </w:r>
      <w:r w:rsidR="00EE7D8B" w:rsidRPr="008C2DEE">
        <w:rPr>
          <w:rFonts w:ascii="Open Sans SemiBold" w:eastAsia="Open Sans SemiBold" w:hAnsi="Open Sans SemiBold" w:cs="Open Sans SemiBold"/>
          <w:bCs/>
          <w:color w:val="003399"/>
        </w:rPr>
        <w:t>Sustainable</w:t>
      </w:r>
      <w:r w:rsidRPr="008C2DEE">
        <w:rPr>
          <w:rFonts w:ascii="Open Sans SemiBold" w:eastAsia="Open Sans SemiBold" w:hAnsi="Open Sans SemiBold" w:cs="Open Sans SemiBold"/>
          <w:bCs/>
          <w:color w:val="003399"/>
        </w:rPr>
        <w:t>’</w:t>
      </w:r>
      <w:r w:rsidR="00EE7D8B" w:rsidRPr="0093369F">
        <w:t xml:space="preserve"> – means that the actions</w:t>
      </w:r>
      <w:r w:rsidR="00880577" w:rsidRPr="0093369F">
        <w:t xml:space="preserve"> that</w:t>
      </w:r>
      <w:r w:rsidR="00EE7D8B" w:rsidRPr="0093369F">
        <w:t xml:space="preserve"> will be undertaken within the Programme will </w:t>
      </w:r>
      <w:r w:rsidR="00880577" w:rsidRPr="0093369F">
        <w:t xml:space="preserve">have a </w:t>
      </w:r>
      <w:r w:rsidR="00EE7D8B" w:rsidRPr="0093369F">
        <w:t>positive impact on the regions</w:t>
      </w:r>
      <w:r w:rsidR="00880577" w:rsidRPr="0093369F">
        <w:t>’</w:t>
      </w:r>
      <w:r w:rsidR="00EE7D8B" w:rsidRPr="0093369F">
        <w:t xml:space="preserve"> environmental, social</w:t>
      </w:r>
      <w:r w:rsidR="00880577" w:rsidRPr="0093369F">
        <w:t>,</w:t>
      </w:r>
      <w:r w:rsidR="00EE7D8B" w:rsidRPr="0093369F">
        <w:t xml:space="preserve"> and economic development. A sustainable approach is very much connected with the </w:t>
      </w:r>
      <w:r w:rsidR="00EE7D8B" w:rsidRPr="006B09AD">
        <w:rPr>
          <w:rFonts w:ascii="Open Sans SemiBold" w:eastAsia="Open Sans SemiBold" w:hAnsi="Open Sans SemiBold" w:cs="Open Sans SemiBold"/>
          <w:bCs/>
          <w:color w:val="003399"/>
        </w:rPr>
        <w:t>green and blue economy</w:t>
      </w:r>
      <w:r w:rsidR="004030C4" w:rsidRPr="0093369F">
        <w:t xml:space="preserve">, related </w:t>
      </w:r>
      <w:r w:rsidR="003C6E62" w:rsidRPr="0093369F">
        <w:t>to environmentally</w:t>
      </w:r>
      <w:r w:rsidR="004030C4" w:rsidRPr="0093369F">
        <w:t xml:space="preserve"> friendly solutions promoting the sustainable management of resources </w:t>
      </w:r>
      <w:r w:rsidR="00CF3569" w:rsidRPr="0093369F">
        <w:t>(</w:t>
      </w:r>
      <w:r w:rsidR="004030C4" w:rsidRPr="0093369F">
        <w:t>energy efficiency, recycling, safety</w:t>
      </w:r>
      <w:r w:rsidR="00880577" w:rsidRPr="0093369F">
        <w:t>,</w:t>
      </w:r>
      <w:r w:rsidR="004030C4" w:rsidRPr="0093369F">
        <w:t xml:space="preserve"> and health concerns</w:t>
      </w:r>
      <w:r w:rsidR="00CF3569" w:rsidRPr="0093369F">
        <w:t>)</w:t>
      </w:r>
      <w:r w:rsidR="004030C4" w:rsidRPr="0093369F">
        <w:t xml:space="preserve"> </w:t>
      </w:r>
      <w:r w:rsidR="00880577" w:rsidRPr="0093369F">
        <w:t>and</w:t>
      </w:r>
      <w:r w:rsidR="00CF3569" w:rsidRPr="0093369F">
        <w:t xml:space="preserve"> related to economic activities in </w:t>
      </w:r>
      <w:r w:rsidR="00880577" w:rsidRPr="0093369F">
        <w:t xml:space="preserve">the </w:t>
      </w:r>
      <w:r w:rsidR="00CF3569" w:rsidRPr="0093369F">
        <w:t>fields of oceans, seas</w:t>
      </w:r>
      <w:r w:rsidR="00880577" w:rsidRPr="0093369F">
        <w:t>,</w:t>
      </w:r>
      <w:r w:rsidR="00CF3569" w:rsidRPr="0093369F">
        <w:t xml:space="preserve"> and coasts</w:t>
      </w:r>
      <w:r w:rsidR="00CB2D74" w:rsidRPr="0093369F">
        <w:t>.</w:t>
      </w:r>
    </w:p>
    <w:p w14:paraId="5338098E" w14:textId="2B83F33D" w:rsidR="0053339A" w:rsidRPr="0093369F" w:rsidRDefault="00F67EE9" w:rsidP="003C58C0">
      <w:pPr>
        <w:spacing w:line="360" w:lineRule="auto"/>
      </w:pPr>
      <w:r w:rsidRPr="008C2DEE">
        <w:rPr>
          <w:rFonts w:ascii="Open Sans SemiBold" w:eastAsia="Open Sans SemiBold" w:hAnsi="Open Sans SemiBold" w:cs="Open Sans SemiBold"/>
          <w:bCs/>
          <w:color w:val="003399"/>
        </w:rPr>
        <w:lastRenderedPageBreak/>
        <w:t>‘</w:t>
      </w:r>
      <w:r w:rsidR="00EE7D8B" w:rsidRPr="008C2DEE">
        <w:rPr>
          <w:rFonts w:ascii="Open Sans SemiBold" w:eastAsia="Open Sans SemiBold" w:hAnsi="Open Sans SemiBold" w:cs="Open Sans SemiBold"/>
          <w:bCs/>
          <w:color w:val="003399"/>
        </w:rPr>
        <w:t>Attractive</w:t>
      </w:r>
      <w:r w:rsidRPr="008C2DEE">
        <w:rPr>
          <w:rFonts w:ascii="Open Sans SemiBold" w:eastAsia="Open Sans SemiBold" w:hAnsi="Open Sans SemiBold" w:cs="Open Sans SemiBold"/>
          <w:bCs/>
          <w:color w:val="003399"/>
        </w:rPr>
        <w:t>’</w:t>
      </w:r>
      <w:r w:rsidR="00EE7D8B" w:rsidRPr="0093369F">
        <w:t xml:space="preserve"> – emphasi</w:t>
      </w:r>
      <w:r w:rsidR="004C3F0F" w:rsidRPr="0093369F">
        <w:t>s</w:t>
      </w:r>
      <w:r w:rsidR="00EE7D8B" w:rsidRPr="0093369F">
        <w:t xml:space="preserve">es the natural and cultural values of the </w:t>
      </w:r>
      <w:r w:rsidR="0053339A" w:rsidRPr="0093369F">
        <w:t>area</w:t>
      </w:r>
      <w:r w:rsidR="00EE7D8B" w:rsidRPr="0093369F">
        <w:t>. These regions not only have beautiful landscapes, but also a wealth of vegetation</w:t>
      </w:r>
      <w:r w:rsidR="0053339A" w:rsidRPr="0093369F">
        <w:t xml:space="preserve">, </w:t>
      </w:r>
      <w:r w:rsidR="00EE7D8B" w:rsidRPr="0093369F">
        <w:t xml:space="preserve">green areas </w:t>
      </w:r>
      <w:r w:rsidR="0053339A" w:rsidRPr="0093369F">
        <w:t>and</w:t>
      </w:r>
      <w:r w:rsidR="00EE7D8B" w:rsidRPr="0093369F">
        <w:t xml:space="preserve"> deeply rooted cultural heritage</w:t>
      </w:r>
      <w:r w:rsidR="0053339A" w:rsidRPr="0093369F">
        <w:t xml:space="preserve">. </w:t>
      </w:r>
    </w:p>
    <w:p w14:paraId="21AA5B85" w14:textId="7BFF2EA4" w:rsidR="00061A31" w:rsidRPr="00D20C32" w:rsidRDefault="00F67EE9" w:rsidP="003C58C0">
      <w:pPr>
        <w:spacing w:line="360" w:lineRule="auto"/>
      </w:pPr>
      <w:r w:rsidRPr="008C2DEE">
        <w:rPr>
          <w:rFonts w:ascii="Open Sans SemiBold" w:eastAsia="Open Sans SemiBold" w:hAnsi="Open Sans SemiBold" w:cs="Open Sans SemiBold"/>
          <w:bCs/>
          <w:color w:val="003399"/>
        </w:rPr>
        <w:t>‘</w:t>
      </w:r>
      <w:r w:rsidR="00EE7D8B" w:rsidRPr="008C2DEE">
        <w:rPr>
          <w:rFonts w:ascii="Open Sans SemiBold" w:eastAsia="Open Sans SemiBold" w:hAnsi="Open Sans SemiBold" w:cs="Open Sans SemiBold"/>
          <w:bCs/>
          <w:color w:val="003399"/>
        </w:rPr>
        <w:t>Active</w:t>
      </w:r>
      <w:r w:rsidRPr="008C2DEE">
        <w:rPr>
          <w:rFonts w:ascii="Open Sans SemiBold" w:eastAsia="Open Sans SemiBold" w:hAnsi="Open Sans SemiBold" w:cs="Open Sans SemiBold"/>
          <w:bCs/>
          <w:color w:val="003399"/>
        </w:rPr>
        <w:t>’</w:t>
      </w:r>
      <w:r w:rsidR="00EE7D8B" w:rsidRPr="0093369F">
        <w:t xml:space="preserve"> – places emphasis on the need </w:t>
      </w:r>
      <w:r w:rsidR="00880577" w:rsidRPr="0093369F">
        <w:t xml:space="preserve">for </w:t>
      </w:r>
      <w:r w:rsidR="00EE7D8B" w:rsidRPr="0093369F">
        <w:t xml:space="preserve">actions aiming at ensuring economic growth </w:t>
      </w:r>
      <w:r w:rsidR="00880577" w:rsidRPr="0093369F">
        <w:t>and</w:t>
      </w:r>
      <w:r w:rsidR="00EE7D8B" w:rsidRPr="0093369F">
        <w:t xml:space="preserve"> </w:t>
      </w:r>
      <w:r w:rsidR="00880577" w:rsidRPr="0093369F">
        <w:t xml:space="preserve">improving </w:t>
      </w:r>
      <w:r w:rsidR="00EE7D8B" w:rsidRPr="0093369F">
        <w:t xml:space="preserve">the quality of life of the South Baltic regions’ inhabitants. </w:t>
      </w:r>
      <w:r w:rsidRPr="0093369F">
        <w:t>It</w:t>
      </w:r>
      <w:r w:rsidR="00EE7D8B" w:rsidRPr="0093369F">
        <w:t xml:space="preserve"> also refers to the issue of cooperation between various groups of stakeholders</w:t>
      </w:r>
      <w:r w:rsidR="00532B73" w:rsidRPr="0093369F">
        <w:t xml:space="preserve"> of different types and</w:t>
      </w:r>
      <w:r w:rsidR="00EE7D8B" w:rsidRPr="0093369F">
        <w:t xml:space="preserve"> from different regions. </w:t>
      </w:r>
      <w:r w:rsidR="00532B73" w:rsidRPr="0093369F">
        <w:t>We especially want to encourage local stakeholders to work together to keep the Programme as close as possible to area residents while promoting green and blue growth from the bottom up.</w:t>
      </w:r>
    </w:p>
    <w:p w14:paraId="2FBC7AA1" w14:textId="1D3467DC" w:rsidR="00BD4290" w:rsidRPr="00BD4290" w:rsidRDefault="00596062" w:rsidP="003C58C0">
      <w:pPr>
        <w:pStyle w:val="Heading3"/>
        <w:spacing w:line="360" w:lineRule="auto"/>
      </w:pPr>
      <w:bookmarkStart w:id="8" w:name="_Toc147242364"/>
      <w:r w:rsidRPr="00BD4290">
        <w:t>1.</w:t>
      </w:r>
      <w:r w:rsidR="00296419" w:rsidRPr="00BD4290">
        <w:t xml:space="preserve">4 </w:t>
      </w:r>
      <w:r w:rsidR="00674BE1">
        <w:t>P</w:t>
      </w:r>
      <w:r w:rsidR="00674BE1" w:rsidRPr="00BD4290">
        <w:t>rogramme management bodies and structure</w:t>
      </w:r>
      <w:bookmarkEnd w:id="8"/>
    </w:p>
    <w:p w14:paraId="2F85C2BE" w14:textId="75B6E0EB" w:rsidR="00596062" w:rsidRPr="00D20C32" w:rsidRDefault="00596062" w:rsidP="003C58C0">
      <w:pPr>
        <w:spacing w:line="360" w:lineRule="auto"/>
      </w:pPr>
      <w:r w:rsidRPr="008C2DEE">
        <w:rPr>
          <w:rFonts w:ascii="Open Sans SemiBold" w:eastAsia="Open Sans SemiBold" w:hAnsi="Open Sans SemiBold" w:cs="Open Sans SemiBold"/>
          <w:bCs/>
          <w:color w:val="003399"/>
        </w:rPr>
        <w:t>Monitoring Committee (MC)</w:t>
      </w:r>
      <w:r w:rsidRPr="00D20C32">
        <w:t xml:space="preserve"> is the main decision-making body of the Programme composed of assigned representatives of all participating Member States and a delegation of Euroregions as well as relevant social and economic partners, partners representing civil society as well as research organi</w:t>
      </w:r>
      <w:r w:rsidR="004C3F0F" w:rsidRPr="00D20C32">
        <w:t>s</w:t>
      </w:r>
      <w:r w:rsidRPr="00D20C32">
        <w:t>ations and universities. The MC approves the Programme documents, including selection criteria and procedures, and takes</w:t>
      </w:r>
      <w:r w:rsidR="00594077" w:rsidRPr="00D20C32">
        <w:t xml:space="preserve"> the</w:t>
      </w:r>
      <w:r w:rsidRPr="00D20C32">
        <w:t xml:space="preserve"> final decision</w:t>
      </w:r>
      <w:r w:rsidR="00594077" w:rsidRPr="00D20C32">
        <w:t>s</w:t>
      </w:r>
      <w:r w:rsidRPr="00D20C32">
        <w:t xml:space="preserve"> on the submitted </w:t>
      </w:r>
      <w:r w:rsidR="00A34E28" w:rsidRPr="00D20C32">
        <w:t xml:space="preserve">Application Forms </w:t>
      </w:r>
      <w:r w:rsidRPr="00D20C32">
        <w:t xml:space="preserve">(approval or rejection) and submitted complaints. </w:t>
      </w:r>
      <w:r w:rsidR="00594077" w:rsidRPr="00D20C32">
        <w:t xml:space="preserve">A representative </w:t>
      </w:r>
      <w:r w:rsidRPr="00D20C32">
        <w:t>of the European Commission participate</w:t>
      </w:r>
      <w:r w:rsidR="00594077" w:rsidRPr="00D20C32">
        <w:t>s</w:t>
      </w:r>
      <w:r w:rsidRPr="00D20C32">
        <w:t xml:space="preserve"> in MC meetings in </w:t>
      </w:r>
      <w:r w:rsidR="00594077" w:rsidRPr="00D20C32">
        <w:t xml:space="preserve">an </w:t>
      </w:r>
      <w:r w:rsidRPr="00D20C32">
        <w:t xml:space="preserve">advisory capacity. The full list of MC members can be found </w:t>
      </w:r>
      <w:r w:rsidR="00594077" w:rsidRPr="00D20C32">
        <w:t xml:space="preserve">on </w:t>
      </w:r>
      <w:r w:rsidRPr="00D20C32">
        <w:t xml:space="preserve">the </w:t>
      </w:r>
      <w:hyperlink r:id="rId13" w:history="1">
        <w:r w:rsidR="00490AEB" w:rsidRPr="00DC4ED8">
          <w:rPr>
            <w:rFonts w:ascii="Open Sans ExtraBold"/>
            <w:b/>
            <w:color w:val="003399"/>
            <w:spacing w:val="-2"/>
          </w:rPr>
          <w:t>Programme website.</w:t>
        </w:r>
      </w:hyperlink>
    </w:p>
    <w:p w14:paraId="398CB75C" w14:textId="491566C1" w:rsidR="00596062" w:rsidRPr="00D20C32" w:rsidRDefault="00596062" w:rsidP="003C58C0">
      <w:pPr>
        <w:spacing w:line="360" w:lineRule="auto"/>
      </w:pPr>
      <w:r w:rsidRPr="008C2DEE">
        <w:rPr>
          <w:rFonts w:ascii="Open Sans SemiBold" w:eastAsia="Open Sans SemiBold" w:hAnsi="Open Sans SemiBold" w:cs="Open Sans SemiBold"/>
          <w:bCs/>
          <w:color w:val="003399"/>
        </w:rPr>
        <w:t xml:space="preserve">National Authorities (NAs) </w:t>
      </w:r>
      <w:r w:rsidRPr="008C2DEE">
        <w:t>are</w:t>
      </w:r>
      <w:r w:rsidRPr="00D20C32">
        <w:t xml:space="preserve"> represented by all participating Member States of the Programme, and relevant functions are vested in the Polish </w:t>
      </w:r>
      <w:r w:rsidR="00A4747B" w:rsidRPr="00D20C32">
        <w:t xml:space="preserve">Ministry responsible for </w:t>
      </w:r>
      <w:r w:rsidR="00475A94" w:rsidRPr="00D20C32">
        <w:t>regional development</w:t>
      </w:r>
      <w:r w:rsidRPr="00D20C32">
        <w:t xml:space="preserve">, the Danish </w:t>
      </w:r>
      <w:r w:rsidR="00475A94" w:rsidRPr="00D20C32">
        <w:t>Business</w:t>
      </w:r>
      <w:r w:rsidRPr="00D20C32">
        <w:t xml:space="preserve"> Authority, the Ministry of Economics, </w:t>
      </w:r>
      <w:r w:rsidR="00224E33" w:rsidRPr="00D20C32">
        <w:t>Infrastructure</w:t>
      </w:r>
      <w:r w:rsidR="00475A94" w:rsidRPr="00D20C32">
        <w:t xml:space="preserve">, </w:t>
      </w:r>
      <w:r w:rsidRPr="00D20C32">
        <w:t>Tourism</w:t>
      </w:r>
      <w:r w:rsidR="00475A94" w:rsidRPr="00D20C32">
        <w:t xml:space="preserve"> and Labour</w:t>
      </w:r>
      <w:r w:rsidRPr="00D20C32">
        <w:t xml:space="preserve"> of Mecklenburg-Vorpommern, the Ministry of the Interior of the Republic of Lithuania and the Ministry of </w:t>
      </w:r>
      <w:r w:rsidR="00475A94" w:rsidRPr="00D20C32">
        <w:t>Rural Affairs and Infrastructure</w:t>
      </w:r>
      <w:r w:rsidRPr="00D20C32">
        <w:t xml:space="preserve"> of Sweden. The NAs provid</w:t>
      </w:r>
      <w:r w:rsidR="00594077" w:rsidRPr="00D20C32">
        <w:t>e</w:t>
      </w:r>
      <w:r w:rsidRPr="00D20C32">
        <w:t xml:space="preserve"> </w:t>
      </w:r>
      <w:r w:rsidRPr="00D20C32">
        <w:lastRenderedPageBreak/>
        <w:t>comprehensive support to the MA at the national level</w:t>
      </w:r>
      <w:r w:rsidR="00594077" w:rsidRPr="00D20C32">
        <w:t>,</w:t>
      </w:r>
      <w:r w:rsidRPr="00D20C32">
        <w:t xml:space="preserve"> ensuring overall sound Programme management and implementation</w:t>
      </w:r>
      <w:r w:rsidR="002E3917" w:rsidRPr="00D20C32">
        <w:t>.</w:t>
      </w:r>
    </w:p>
    <w:p w14:paraId="0355026D" w14:textId="52E319CC" w:rsidR="00596062" w:rsidRPr="00D20C32" w:rsidRDefault="00596062" w:rsidP="003C58C0">
      <w:pPr>
        <w:spacing w:line="360" w:lineRule="auto"/>
      </w:pPr>
      <w:r w:rsidRPr="008C2DEE">
        <w:rPr>
          <w:rFonts w:ascii="Open Sans SemiBold" w:eastAsia="Open Sans SemiBold" w:hAnsi="Open Sans SemiBold" w:cs="Open Sans SemiBold"/>
          <w:bCs/>
          <w:color w:val="003399"/>
        </w:rPr>
        <w:t>Managing Authority (MA)</w:t>
      </w:r>
      <w:r w:rsidRPr="00D20C32">
        <w:t xml:space="preserve"> is an executive body represented by the Polish </w:t>
      </w:r>
      <w:r w:rsidR="00A4747B" w:rsidRPr="00D20C32">
        <w:t xml:space="preserve">Ministry responsible for </w:t>
      </w:r>
      <w:r w:rsidR="006446C6" w:rsidRPr="00D20C32">
        <w:t xml:space="preserve">regional development (Ministry of </w:t>
      </w:r>
      <w:r w:rsidR="00A4747B" w:rsidRPr="00D20C32">
        <w:t>Development Funds and Regional Policy</w:t>
      </w:r>
      <w:r w:rsidR="006446C6" w:rsidRPr="00D20C32">
        <w:t xml:space="preserve"> of Poland)</w:t>
      </w:r>
      <w:r w:rsidRPr="00D20C32">
        <w:t xml:space="preserve">. The Programme </w:t>
      </w:r>
      <w:r w:rsidR="005A2115" w:rsidRPr="00D20C32">
        <w:t>management</w:t>
      </w:r>
      <w:r w:rsidRPr="00D20C32">
        <w:t xml:space="preserve"> and implementation </w:t>
      </w:r>
      <w:r w:rsidR="00771290" w:rsidRPr="00D20C32">
        <w:t xml:space="preserve">are vested in the MA </w:t>
      </w:r>
      <w:r w:rsidRPr="00D20C32">
        <w:t xml:space="preserve">in accordance with the principle of sound financial </w:t>
      </w:r>
      <w:r w:rsidR="005A2115" w:rsidRPr="00D20C32">
        <w:t>administration</w:t>
      </w:r>
      <w:r w:rsidRPr="00D20C32">
        <w:t xml:space="preserve"> and the applicable legislation. The MA is the party to the Subsidy Contract</w:t>
      </w:r>
      <w:r w:rsidR="00771290" w:rsidRPr="00D20C32">
        <w:t xml:space="preserve"> and </w:t>
      </w:r>
      <w:r w:rsidRPr="00D20C32">
        <w:t>disburse</w:t>
      </w:r>
      <w:r w:rsidR="00771290" w:rsidRPr="00D20C32">
        <w:t>ment</w:t>
      </w:r>
      <w:r w:rsidRPr="00D20C32">
        <w:t xml:space="preserve"> payments to projects and applies for </w:t>
      </w:r>
      <w:r w:rsidR="00771290" w:rsidRPr="00D20C32">
        <w:t xml:space="preserve">the </w:t>
      </w:r>
      <w:r w:rsidRPr="00D20C32">
        <w:t xml:space="preserve">return of funds by </w:t>
      </w:r>
      <w:r w:rsidR="00771290" w:rsidRPr="00D20C32">
        <w:t xml:space="preserve">a </w:t>
      </w:r>
      <w:r w:rsidRPr="00D20C32">
        <w:t xml:space="preserve">project </w:t>
      </w:r>
      <w:r w:rsidR="00771290" w:rsidRPr="00D20C32">
        <w:t>if</w:t>
      </w:r>
      <w:r w:rsidRPr="00D20C32">
        <w:t xml:space="preserve"> irregularities</w:t>
      </w:r>
      <w:r w:rsidR="00771290" w:rsidRPr="00D20C32">
        <w:t xml:space="preserve"> are found</w:t>
      </w:r>
      <w:r w:rsidRPr="00D20C32">
        <w:t xml:space="preserve">. </w:t>
      </w:r>
    </w:p>
    <w:p w14:paraId="66631112" w14:textId="0AB843ED" w:rsidR="00596062" w:rsidRPr="00596062" w:rsidRDefault="00596062" w:rsidP="003C58C0">
      <w:pPr>
        <w:spacing w:line="360" w:lineRule="auto"/>
        <w:rPr>
          <w:rFonts w:ascii="Segoe UI" w:hAnsi="Segoe UI" w:cs="Segoe UI"/>
          <w:lang w:val="en-GB"/>
        </w:rPr>
      </w:pPr>
      <w:r w:rsidRPr="008C2DEE">
        <w:rPr>
          <w:rFonts w:ascii="Open Sans SemiBold" w:eastAsia="Open Sans SemiBold" w:hAnsi="Open Sans SemiBold" w:cs="Open Sans SemiBold"/>
          <w:bCs/>
          <w:color w:val="003399"/>
        </w:rPr>
        <w:t xml:space="preserve">Audit Authority (AA) </w:t>
      </w:r>
      <w:r w:rsidRPr="008C2DEE">
        <w:t>is</w:t>
      </w:r>
      <w:r w:rsidRPr="0093369F">
        <w:t xml:space="preserve"> represented by the Polish Ministry of Finance. The AA is responsible for auditing the system and operations by performing the </w:t>
      </w:r>
      <w:r w:rsidR="00F02972" w:rsidRPr="0093369F">
        <w:t>‘</w:t>
      </w:r>
      <w:r w:rsidRPr="0093369F">
        <w:t>second level control</w:t>
      </w:r>
      <w:r w:rsidR="00F02972" w:rsidRPr="0093369F">
        <w:t>’</w:t>
      </w:r>
      <w:r w:rsidRPr="0093369F">
        <w:t xml:space="preserve">. The AA checks if the audit work complies with internationally accepted audit standards when carrying out audits on the MA, </w:t>
      </w:r>
      <w:r w:rsidR="005E3231" w:rsidRPr="0093369F">
        <w:t xml:space="preserve">the </w:t>
      </w:r>
      <w:r w:rsidRPr="0093369F">
        <w:t>JS and on the first level controllers.</w:t>
      </w:r>
    </w:p>
    <w:p w14:paraId="7992F9B8" w14:textId="5A8CC531" w:rsidR="00596062" w:rsidRPr="0093369F" w:rsidRDefault="00596062" w:rsidP="003C58C0">
      <w:pPr>
        <w:spacing w:line="360" w:lineRule="auto"/>
      </w:pPr>
      <w:r w:rsidRPr="008C2DEE">
        <w:rPr>
          <w:rFonts w:ascii="Open Sans SemiBold" w:eastAsia="Open Sans SemiBold" w:hAnsi="Open Sans SemiBold" w:cs="Open Sans SemiBold"/>
          <w:bCs/>
          <w:color w:val="003399"/>
        </w:rPr>
        <w:t>Joint Secretariat (JS)</w:t>
      </w:r>
      <w:r w:rsidRPr="00596062">
        <w:rPr>
          <w:rFonts w:ascii="Segoe UI" w:hAnsi="Segoe UI" w:cs="Segoe UI"/>
          <w:lang w:val="en-GB"/>
        </w:rPr>
        <w:t xml:space="preserve"> </w:t>
      </w:r>
      <w:r w:rsidRPr="0093369F">
        <w:t>is an assisting operational body located in Gdańsk, Poland. The JS is responsible for</w:t>
      </w:r>
      <w:r w:rsidR="007D49CF" w:rsidRPr="0093369F">
        <w:t>,</w:t>
      </w:r>
      <w:r w:rsidRPr="0093369F">
        <w:t xml:space="preserve"> inter alia</w:t>
      </w:r>
      <w:r w:rsidR="007D49CF" w:rsidRPr="0093369F">
        <w:t>,</w:t>
      </w:r>
      <w:r w:rsidRPr="0093369F">
        <w:t xml:space="preserve"> preparation and launching of the Programme Calls for Proposals, provision of information on the Programme to future applicants and project partners, management of the project selection procedures, assistance to projects in the implementation process, monitoring and verification of the project progress reports</w:t>
      </w:r>
      <w:r w:rsidR="007D49CF" w:rsidRPr="0093369F">
        <w:t>,</w:t>
      </w:r>
      <w:r w:rsidRPr="0093369F">
        <w:t xml:space="preserve"> etc. </w:t>
      </w:r>
    </w:p>
    <w:p w14:paraId="1683073A" w14:textId="1A22A9C8" w:rsidR="00596062" w:rsidRPr="00596062" w:rsidRDefault="00596062" w:rsidP="003C58C0">
      <w:pPr>
        <w:spacing w:line="360" w:lineRule="auto"/>
        <w:rPr>
          <w:rFonts w:ascii="Segoe UI" w:hAnsi="Segoe UI" w:cs="Segoe UI"/>
          <w:lang w:val="en-GB"/>
        </w:rPr>
      </w:pPr>
      <w:r w:rsidRPr="008C2DEE">
        <w:rPr>
          <w:rFonts w:ascii="Open Sans SemiBold" w:eastAsia="Open Sans SemiBold" w:hAnsi="Open Sans SemiBold" w:cs="Open Sans SemiBold"/>
          <w:bCs/>
          <w:color w:val="003399"/>
        </w:rPr>
        <w:t>Contact Points (CPs)</w:t>
      </w:r>
      <w:r w:rsidRPr="0093369F">
        <w:rPr>
          <w:rFonts w:ascii="Segoe UI" w:hAnsi="Segoe UI" w:cs="Segoe UI"/>
          <w:lang w:val="en-GB"/>
        </w:rPr>
        <w:t xml:space="preserve"> </w:t>
      </w:r>
      <w:r w:rsidRPr="0093369F">
        <w:t>are represented by assigned specialists located in each Programme region and are the first source of information about the Programme for potential applicants and project partners. Explicit and comprehensive information is provided in national languages and in relation to the national requirement, specifications, and rules. The CPs facilitat</w:t>
      </w:r>
      <w:r w:rsidR="007D49CF" w:rsidRPr="0093369F">
        <w:t>e</w:t>
      </w:r>
      <w:r w:rsidRPr="0093369F">
        <w:t xml:space="preserve"> the partner search, organi</w:t>
      </w:r>
      <w:r w:rsidR="004C3F0F" w:rsidRPr="0093369F">
        <w:t>s</w:t>
      </w:r>
      <w:r w:rsidRPr="0093369F">
        <w:t xml:space="preserve">e and carry out training sessions and information meetings for potential </w:t>
      </w:r>
      <w:r w:rsidRPr="0093369F">
        <w:lastRenderedPageBreak/>
        <w:t>applicants, provide information and give consultations during project development and implementation processes</w:t>
      </w:r>
      <w:r w:rsidR="007D49CF" w:rsidRPr="0093369F">
        <w:t>,</w:t>
      </w:r>
      <w:r w:rsidRPr="0093369F">
        <w:t xml:space="preserve"> etc.</w:t>
      </w:r>
    </w:p>
    <w:p w14:paraId="359E6A54" w14:textId="39D3B4F7" w:rsidR="000E5956" w:rsidRDefault="00596062" w:rsidP="003C58C0">
      <w:pPr>
        <w:spacing w:line="360" w:lineRule="auto"/>
      </w:pPr>
      <w:r w:rsidRPr="008C2DEE">
        <w:rPr>
          <w:rFonts w:ascii="Open Sans SemiBold" w:eastAsia="Open Sans SemiBold" w:hAnsi="Open Sans SemiBold" w:cs="Open Sans SemiBold"/>
          <w:bCs/>
          <w:color w:val="003399"/>
        </w:rPr>
        <w:t>First Level Control (FLC)</w:t>
      </w:r>
      <w:r w:rsidRPr="00596062">
        <w:rPr>
          <w:rFonts w:ascii="Segoe UI" w:hAnsi="Segoe UI" w:cs="Segoe UI"/>
          <w:lang w:val="en-GB"/>
        </w:rPr>
        <w:t xml:space="preserve"> </w:t>
      </w:r>
      <w:r w:rsidRPr="0093369F">
        <w:t xml:space="preserve">defines controllers that are entitled to and responsible for verification of expenditure declared by the project partners located in each respective Member State. </w:t>
      </w:r>
      <w:r w:rsidR="006E157F" w:rsidRPr="0093369F">
        <w:t xml:space="preserve">Its main </w:t>
      </w:r>
      <w:r w:rsidRPr="0093369F">
        <w:t>tasks and responsibilities include</w:t>
      </w:r>
      <w:r w:rsidR="00625CFD" w:rsidRPr="0093369F">
        <w:t xml:space="preserve"> </w:t>
      </w:r>
      <w:r w:rsidRPr="0093369F">
        <w:t xml:space="preserve">cooperation with project partners in the auditing process </w:t>
      </w:r>
      <w:r w:rsidR="006E157F" w:rsidRPr="0093369F">
        <w:t xml:space="preserve">at </w:t>
      </w:r>
      <w:r w:rsidRPr="0093369F">
        <w:t>the partner level by verifying the eligibility of the expenditure declared</w:t>
      </w:r>
      <w:r w:rsidR="006E157F" w:rsidRPr="0093369F">
        <w:t>,</w:t>
      </w:r>
      <w:r w:rsidRPr="0093369F">
        <w:t xml:space="preserve"> and compliance of the expenditure with the Programme rules, </w:t>
      </w:r>
      <w:r w:rsidR="00DD6A39" w:rsidRPr="0093369F">
        <w:t>EC,</w:t>
      </w:r>
      <w:r w:rsidRPr="0093369F">
        <w:t xml:space="preserve"> and national legislative acts. Two FLC systems </w:t>
      </w:r>
      <w:r w:rsidR="006E157F" w:rsidRPr="0093369F">
        <w:t xml:space="preserve">are </w:t>
      </w:r>
      <w:r w:rsidRPr="0093369F">
        <w:t xml:space="preserve">recognised in the Programme, depending on the country of origin: </w:t>
      </w:r>
      <w:r w:rsidR="006E157F" w:rsidRPr="0093369F">
        <w:t xml:space="preserve">a </w:t>
      </w:r>
      <w:r w:rsidRPr="0093369F">
        <w:t>centralised system in Poland and Sweden</w:t>
      </w:r>
      <w:r w:rsidR="006E157F" w:rsidRPr="0093369F">
        <w:t>,</w:t>
      </w:r>
      <w:r w:rsidRPr="0093369F">
        <w:t xml:space="preserve"> and </w:t>
      </w:r>
      <w:r w:rsidR="006E157F" w:rsidRPr="0093369F">
        <w:t xml:space="preserve">a </w:t>
      </w:r>
      <w:r w:rsidRPr="0093369F">
        <w:t>decentrali</w:t>
      </w:r>
      <w:r w:rsidR="004C3F0F" w:rsidRPr="0093369F">
        <w:t>s</w:t>
      </w:r>
      <w:r w:rsidRPr="0093369F">
        <w:t xml:space="preserve">ed </w:t>
      </w:r>
      <w:r w:rsidR="006E157F" w:rsidRPr="0093369F">
        <w:t xml:space="preserve">system </w:t>
      </w:r>
      <w:r w:rsidRPr="0093369F">
        <w:t xml:space="preserve">in Denmark, Germany, and Lithuania. As these systems require different </w:t>
      </w:r>
      <w:r w:rsidR="006E157F" w:rsidRPr="0093369F">
        <w:t xml:space="preserve">operational </w:t>
      </w:r>
      <w:r w:rsidRPr="0093369F">
        <w:t>approach</w:t>
      </w:r>
      <w:r w:rsidR="006E157F" w:rsidRPr="0093369F">
        <w:t>es</w:t>
      </w:r>
      <w:r w:rsidRPr="0093369F">
        <w:t xml:space="preserve"> from project partners, please make sure to </w:t>
      </w:r>
      <w:r w:rsidR="006E157F" w:rsidRPr="0093369F">
        <w:t xml:space="preserve">refer to </w:t>
      </w:r>
      <w:r w:rsidRPr="0093369F">
        <w:t xml:space="preserve">the detailed information in </w:t>
      </w:r>
      <w:r w:rsidR="003938E6" w:rsidRPr="0093369F">
        <w:t xml:space="preserve">Chapter VI, </w:t>
      </w:r>
      <w:r w:rsidRPr="0093369F">
        <w:t xml:space="preserve">Section </w:t>
      </w:r>
      <w:r w:rsidR="001A7C11" w:rsidRPr="0093369F">
        <w:t>6</w:t>
      </w:r>
      <w:r w:rsidR="00625CFD" w:rsidRPr="0093369F">
        <w:t xml:space="preserve"> Audit and Control</w:t>
      </w:r>
      <w:r w:rsidRPr="0093369F">
        <w:t xml:space="preserve"> of this Manual</w:t>
      </w:r>
      <w:r w:rsidR="00061A31">
        <w:t>.</w:t>
      </w:r>
    </w:p>
    <w:p w14:paraId="09D24758" w14:textId="77777777" w:rsidR="000E5956" w:rsidRDefault="000E5956" w:rsidP="003C58C0">
      <w:pPr>
        <w:spacing w:line="360" w:lineRule="auto"/>
      </w:pPr>
      <w:r>
        <w:br w:type="page"/>
      </w:r>
    </w:p>
    <w:p w14:paraId="098A68EA" w14:textId="2E1A84D9" w:rsidR="006371C2" w:rsidRPr="002F64EA" w:rsidRDefault="00FB2E41" w:rsidP="003C58C0">
      <w:pPr>
        <w:pStyle w:val="Heading2"/>
        <w:spacing w:line="360" w:lineRule="auto"/>
      </w:pPr>
      <w:bookmarkStart w:id="9" w:name="_Toc147242365"/>
      <w:r w:rsidRPr="00BD4290">
        <w:lastRenderedPageBreak/>
        <w:t xml:space="preserve">2 </w:t>
      </w:r>
      <w:r w:rsidR="007A42BC" w:rsidRPr="00BD4290">
        <w:t>SOUTH BALTIC PROGRAMME AREA</w:t>
      </w:r>
      <w:bookmarkEnd w:id="9"/>
    </w:p>
    <w:p w14:paraId="0781852D" w14:textId="30D1797B" w:rsidR="00D20C32" w:rsidRDefault="006C0DFF" w:rsidP="003C58C0">
      <w:pPr>
        <w:spacing w:line="360" w:lineRule="auto"/>
      </w:pPr>
      <w:bookmarkStart w:id="10" w:name="_Hlk94097519"/>
      <w:r w:rsidRPr="00346297">
        <w:t xml:space="preserve">The South Baltic Programme is a multilateral cross-border cooperation programme created on the coastal regions of five EU Member States: Germany, Denmark, Sweden, </w:t>
      </w:r>
      <w:r w:rsidR="005A681D" w:rsidRPr="00346297">
        <w:t>Lithuania,</w:t>
      </w:r>
      <w:r w:rsidRPr="00346297">
        <w:t xml:space="preserve"> and Poland. </w:t>
      </w:r>
      <w:r w:rsidR="009A1620" w:rsidRPr="00346297">
        <w:t>The Programme covers 25 NUT</w:t>
      </w:r>
      <w:r w:rsidR="00612B87" w:rsidRPr="00346297">
        <w:t>S3 regions</w:t>
      </w:r>
      <w:r w:rsidR="005C6C77" w:rsidRPr="00346297">
        <w:t xml:space="preserve"> (Bornholm, Østsjælland, Vest-og Sydsjælland, Skåne län, Blekinge län, Kalmar län, Kronobergs län, Nordwestmecklenburg, Rostock, Vorpommern-Rügen, Vorpommern-Greifswald, district-free city (kreisfreie Stadt) of Rostock, Miasto Szczecin, Szczeciński, Szczecinecko-pyrzycki, Koszaliński, Słupski, Starogardzki, Chojnicki, Gdański, Trójmiejski, Elbląski, Klaipėdos apskritis, Tauragės apskritis, Telšių apskritis)</w:t>
      </w:r>
      <w:r w:rsidR="00AB2131" w:rsidRPr="00346297">
        <w:t>,</w:t>
      </w:r>
      <w:r w:rsidR="00612B87" w:rsidRPr="00346297">
        <w:t xml:space="preserve"> which you can find on the map.</w:t>
      </w:r>
      <w:bookmarkEnd w:id="10"/>
    </w:p>
    <w:p w14:paraId="48B96307" w14:textId="70E2F493" w:rsidR="00061A31" w:rsidRDefault="00BE7BAD" w:rsidP="003C58C0">
      <w:pPr>
        <w:spacing w:line="360" w:lineRule="auto"/>
        <w:rPr>
          <w:rFonts w:eastAsia="Open Sans" w:cs="Open Sans"/>
          <w:sz w:val="20"/>
          <w:szCs w:val="20"/>
        </w:rPr>
      </w:pPr>
      <w:r w:rsidRPr="00C27820">
        <w:rPr>
          <w:noProof/>
        </w:rPr>
        <w:drawing>
          <wp:anchor distT="0" distB="0" distL="0" distR="0" simplePos="0" relativeHeight="251766271" behindDoc="1" locked="0" layoutInCell="1" allowOverlap="1" wp14:anchorId="36055EFF" wp14:editId="3F261F66">
            <wp:simplePos x="0" y="0"/>
            <wp:positionH relativeFrom="margin">
              <wp:align>right</wp:align>
            </wp:positionH>
            <wp:positionV relativeFrom="paragraph">
              <wp:posOffset>39710</wp:posOffset>
            </wp:positionV>
            <wp:extent cx="5762625" cy="4295775"/>
            <wp:effectExtent l="0" t="0" r="9525" b="9525"/>
            <wp:wrapNone/>
            <wp:docPr id="151" name="Image 1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a:extLst>
                        <a:ext uri="{C183D7F6-B498-43B3-948B-1728B52AA6E4}">
                          <adec:decorative xmlns:adec="http://schemas.microsoft.com/office/drawing/2017/decorative" val="1"/>
                        </a:ext>
                      </a:extLst>
                    </pic:cNvPr>
                    <pic:cNvPicPr/>
                  </pic:nvPicPr>
                  <pic:blipFill>
                    <a:blip r:embed="rId14" cstate="print"/>
                    <a:stretch>
                      <a:fillRect/>
                    </a:stretch>
                  </pic:blipFill>
                  <pic:spPr>
                    <a:xfrm>
                      <a:off x="0" y="0"/>
                      <a:ext cx="5762625" cy="4295775"/>
                    </a:xfrm>
                    <a:prstGeom prst="rect">
                      <a:avLst/>
                    </a:prstGeom>
                  </pic:spPr>
                </pic:pic>
              </a:graphicData>
            </a:graphic>
            <wp14:sizeRelH relativeFrom="margin">
              <wp14:pctWidth>0</wp14:pctWidth>
            </wp14:sizeRelH>
            <wp14:sizeRelV relativeFrom="margin">
              <wp14:pctHeight>0</wp14:pctHeight>
            </wp14:sizeRelV>
          </wp:anchor>
        </w:drawing>
      </w:r>
    </w:p>
    <w:p w14:paraId="5199054D" w14:textId="6D6C4187" w:rsidR="00061A31" w:rsidRDefault="00061A31" w:rsidP="003C58C0">
      <w:pPr>
        <w:spacing w:line="360" w:lineRule="auto"/>
      </w:pPr>
    </w:p>
    <w:p w14:paraId="5916A423" w14:textId="3C966665" w:rsidR="00061A31" w:rsidRPr="00346297" w:rsidRDefault="00061A31" w:rsidP="003C58C0">
      <w:pPr>
        <w:spacing w:line="360" w:lineRule="auto"/>
      </w:pPr>
    </w:p>
    <w:p w14:paraId="74D7FD9D" w14:textId="3A8553FD" w:rsidR="006371C2" w:rsidRDefault="006371C2" w:rsidP="003C58C0">
      <w:pPr>
        <w:spacing w:line="360" w:lineRule="auto"/>
        <w:rPr>
          <w:lang w:val="en-GB"/>
        </w:rPr>
      </w:pPr>
    </w:p>
    <w:p w14:paraId="1BE723D1" w14:textId="5473F3AD" w:rsidR="006D049C" w:rsidRDefault="006D049C" w:rsidP="003C58C0">
      <w:pPr>
        <w:spacing w:line="360" w:lineRule="auto"/>
        <w:rPr>
          <w:lang w:val="en-GB"/>
        </w:rPr>
      </w:pPr>
    </w:p>
    <w:p w14:paraId="2CCD913B" w14:textId="71B45826" w:rsidR="006D049C" w:rsidRDefault="006D049C" w:rsidP="003C58C0">
      <w:pPr>
        <w:spacing w:line="360" w:lineRule="auto"/>
        <w:rPr>
          <w:lang w:val="en-GB"/>
        </w:rPr>
      </w:pPr>
    </w:p>
    <w:p w14:paraId="5450A75A" w14:textId="20DC7E7C" w:rsidR="006D049C" w:rsidRDefault="006D049C" w:rsidP="003C58C0">
      <w:pPr>
        <w:spacing w:line="360" w:lineRule="auto"/>
        <w:rPr>
          <w:lang w:val="en-GB"/>
        </w:rPr>
      </w:pPr>
    </w:p>
    <w:p w14:paraId="720BEBC1" w14:textId="483EFE19" w:rsidR="006D049C" w:rsidRDefault="006D049C" w:rsidP="003C58C0">
      <w:pPr>
        <w:spacing w:line="360" w:lineRule="auto"/>
        <w:rPr>
          <w:lang w:val="en-GB"/>
        </w:rPr>
      </w:pPr>
    </w:p>
    <w:p w14:paraId="37ADCC15" w14:textId="5FB46E63" w:rsidR="006D049C" w:rsidRDefault="006D049C" w:rsidP="003C58C0">
      <w:pPr>
        <w:spacing w:line="360" w:lineRule="auto"/>
        <w:rPr>
          <w:lang w:val="en-GB"/>
        </w:rPr>
      </w:pPr>
    </w:p>
    <w:p w14:paraId="4025EA33" w14:textId="77777777" w:rsidR="006D049C" w:rsidRDefault="006D049C" w:rsidP="003C58C0">
      <w:pPr>
        <w:spacing w:line="360" w:lineRule="auto"/>
        <w:rPr>
          <w:lang w:val="en-GB"/>
        </w:rPr>
      </w:pPr>
    </w:p>
    <w:p w14:paraId="0044A954" w14:textId="77777777" w:rsidR="006D049C" w:rsidRDefault="006D049C" w:rsidP="003C58C0">
      <w:pPr>
        <w:spacing w:line="360" w:lineRule="auto"/>
        <w:rPr>
          <w:lang w:val="en-GB"/>
        </w:rPr>
      </w:pPr>
    </w:p>
    <w:p w14:paraId="7951050C" w14:textId="77777777" w:rsidR="006D049C" w:rsidRDefault="006D049C" w:rsidP="003C58C0">
      <w:pPr>
        <w:spacing w:line="360" w:lineRule="auto"/>
        <w:rPr>
          <w:lang w:val="en-GB"/>
        </w:rPr>
      </w:pPr>
    </w:p>
    <w:p w14:paraId="5EEE80AD" w14:textId="77777777" w:rsidR="006D049C" w:rsidRDefault="006D049C" w:rsidP="003C58C0">
      <w:pPr>
        <w:spacing w:line="360" w:lineRule="auto"/>
        <w:rPr>
          <w:lang w:val="en-GB"/>
        </w:rPr>
      </w:pPr>
    </w:p>
    <w:p w14:paraId="7AE81590" w14:textId="266DAA1A" w:rsidR="00E41C3F" w:rsidRPr="00BD4290" w:rsidRDefault="00FB2E41" w:rsidP="003C58C0">
      <w:pPr>
        <w:pStyle w:val="Heading2"/>
        <w:spacing w:line="360" w:lineRule="auto"/>
      </w:pPr>
      <w:bookmarkStart w:id="11" w:name="_Toc147242366"/>
      <w:bookmarkStart w:id="12" w:name="_Hlk105761027"/>
      <w:r w:rsidRPr="00BD4290">
        <w:lastRenderedPageBreak/>
        <w:t>3</w:t>
      </w:r>
      <w:r w:rsidR="00E41C3F" w:rsidRPr="00BD4290">
        <w:t xml:space="preserve"> </w:t>
      </w:r>
      <w:r w:rsidR="00A821EB" w:rsidRPr="00BD4290">
        <w:t>COMPLEMENTARITIES</w:t>
      </w:r>
      <w:r w:rsidR="00E41C3F" w:rsidRPr="00BD4290">
        <w:t xml:space="preserve"> WITH OTHER INTERREG PROGRAMMES</w:t>
      </w:r>
      <w:bookmarkEnd w:id="11"/>
    </w:p>
    <w:p w14:paraId="22EFB6BB" w14:textId="135EFC03" w:rsidR="007A5351" w:rsidRPr="00EB4CCD" w:rsidRDefault="007A5351" w:rsidP="003C58C0">
      <w:pPr>
        <w:spacing w:line="360" w:lineRule="auto"/>
      </w:pPr>
      <w:r w:rsidRPr="00686E58">
        <w:t xml:space="preserve">Synergies and complementarities between the strands of Interreg should be strengthened. The </w:t>
      </w:r>
      <w:r w:rsidRPr="00EB4CCD">
        <w:t>Interreg South Baltic Programme 2021</w:t>
      </w:r>
      <w:r w:rsidR="006910EC" w:rsidRPr="00EB4CCD">
        <w:t>–</w:t>
      </w:r>
      <w:r w:rsidRPr="00EB4CCD">
        <w:t>2027 geographically overlaps with the transnational Interreg Baltic Sea Region Programme 2021</w:t>
      </w:r>
      <w:r w:rsidR="006910EC" w:rsidRPr="00EB4CCD">
        <w:t>–</w:t>
      </w:r>
      <w:r w:rsidRPr="00EB4CCD">
        <w:t>2027, but the complementarity of these programmes should tak</w:t>
      </w:r>
      <w:r w:rsidR="00005F9F" w:rsidRPr="00EB4CCD">
        <w:t>e</w:t>
      </w:r>
      <w:r w:rsidRPr="00EB4CCD">
        <w:t xml:space="preserve"> into account their nature (cross-border </w:t>
      </w:r>
      <w:r w:rsidR="00005F9F" w:rsidRPr="00EB4CCD">
        <w:t xml:space="preserve">vs. </w:t>
      </w:r>
      <w:r w:rsidRPr="00EB4CCD">
        <w:t xml:space="preserve">transnational) </w:t>
      </w:r>
      <w:r w:rsidR="00005F9F" w:rsidRPr="00EB4CCD">
        <w:t xml:space="preserve">and so </w:t>
      </w:r>
      <w:r w:rsidRPr="00EB4CCD">
        <w:t>should be considered at various levels of cooperation opportunities, challenges</w:t>
      </w:r>
      <w:r w:rsidR="00B3710B" w:rsidRPr="00EB4CCD">
        <w:t>,</w:t>
      </w:r>
      <w:r w:rsidRPr="00EB4CCD">
        <w:t xml:space="preserve"> and recipients. </w:t>
      </w:r>
    </w:p>
    <w:p w14:paraId="6141EE56" w14:textId="2FB86EB4" w:rsidR="007A5351" w:rsidRPr="00EB4CCD" w:rsidRDefault="007A5351" w:rsidP="003C58C0">
      <w:pPr>
        <w:spacing w:line="360" w:lineRule="auto"/>
      </w:pPr>
      <w:r w:rsidRPr="00EB4CCD">
        <w:t xml:space="preserve">The South Baltic Programme also shares some larger parts of the area </w:t>
      </w:r>
      <w:r w:rsidR="00B3710B" w:rsidRPr="00EB4CCD">
        <w:t>or</w:t>
      </w:r>
      <w:r w:rsidR="00005F9F" w:rsidRPr="00EB4CCD">
        <w:t xml:space="preserve"> </w:t>
      </w:r>
      <w:r w:rsidRPr="00EB4CCD">
        <w:t>might overlap thematically with other Interreg cross-border programmes on internal EU borders, namely:</w:t>
      </w:r>
    </w:p>
    <w:p w14:paraId="2BE392E4" w14:textId="419CB9DA" w:rsidR="007628D4" w:rsidRDefault="007A5351" w:rsidP="003C58C0">
      <w:pPr>
        <w:pStyle w:val="ListParagraph"/>
        <w:numPr>
          <w:ilvl w:val="0"/>
          <w:numId w:val="85"/>
        </w:numPr>
        <w:spacing w:line="360" w:lineRule="auto"/>
      </w:pPr>
      <w:r w:rsidRPr="007628D4">
        <w:t>Interreg Central Baltic Programme</w:t>
      </w:r>
      <w:r w:rsidR="00144CC2">
        <w:t>.</w:t>
      </w:r>
    </w:p>
    <w:p w14:paraId="651678FD" w14:textId="3492B64A" w:rsidR="007628D4" w:rsidRPr="00805C22" w:rsidRDefault="007A5351" w:rsidP="003C58C0">
      <w:pPr>
        <w:pStyle w:val="ListParagraph"/>
        <w:numPr>
          <w:ilvl w:val="0"/>
          <w:numId w:val="85"/>
        </w:numPr>
        <w:spacing w:line="360" w:lineRule="auto"/>
        <w:rPr>
          <w:lang w:val="de-DE"/>
        </w:rPr>
      </w:pPr>
      <w:r w:rsidRPr="00805C22">
        <w:rPr>
          <w:lang w:val="de-DE"/>
        </w:rPr>
        <w:t>Interreg Germany/Mecklenburg Vorpommern-Brandenburg-Poland Programme</w:t>
      </w:r>
      <w:r w:rsidR="00144CC2" w:rsidRPr="00805C22">
        <w:rPr>
          <w:lang w:val="de-DE"/>
        </w:rPr>
        <w:t>.</w:t>
      </w:r>
    </w:p>
    <w:p w14:paraId="158356B3" w14:textId="7B680368" w:rsidR="007A5351" w:rsidRPr="00805C22" w:rsidRDefault="007A5351" w:rsidP="003C58C0">
      <w:pPr>
        <w:pStyle w:val="ListParagraph"/>
        <w:numPr>
          <w:ilvl w:val="0"/>
          <w:numId w:val="85"/>
        </w:numPr>
        <w:spacing w:line="360" w:lineRule="auto"/>
        <w:rPr>
          <w:lang w:val="de-DE"/>
        </w:rPr>
      </w:pPr>
      <w:r w:rsidRPr="00805C22">
        <w:rPr>
          <w:lang w:val="de-DE"/>
        </w:rPr>
        <w:t>Interreg Öresund-Kattegat-Skagerrak Programme</w:t>
      </w:r>
      <w:r w:rsidR="00144CC2" w:rsidRPr="00805C22">
        <w:rPr>
          <w:lang w:val="de-DE"/>
        </w:rPr>
        <w:t>.</w:t>
      </w:r>
    </w:p>
    <w:p w14:paraId="6AA1D955" w14:textId="37B97C2B" w:rsidR="007A5351" w:rsidRPr="00EB4CCD" w:rsidRDefault="007A5351" w:rsidP="003C58C0">
      <w:pPr>
        <w:spacing w:line="360" w:lineRule="auto"/>
      </w:pPr>
      <w:r w:rsidRPr="00EB4CCD">
        <w:t xml:space="preserve">It </w:t>
      </w:r>
      <w:r w:rsidR="00B3710B" w:rsidRPr="00EB4CCD">
        <w:t>should be</w:t>
      </w:r>
      <w:r w:rsidR="00B25D3E" w:rsidRPr="00EB4CCD">
        <w:t xml:space="preserve"> </w:t>
      </w:r>
      <w:r w:rsidRPr="00EB4CCD">
        <w:t>underlined that the interest of beneficiaries has grown quickly from call to call, thus in a short period</w:t>
      </w:r>
      <w:r w:rsidR="00005F9F" w:rsidRPr="00EB4CCD">
        <w:t>,</w:t>
      </w:r>
      <w:r w:rsidRPr="00EB4CCD">
        <w:t xml:space="preserve"> the South Baltic Programme </w:t>
      </w:r>
      <w:r w:rsidR="00005F9F" w:rsidRPr="00EB4CCD">
        <w:t xml:space="preserve">has become </w:t>
      </w:r>
      <w:r w:rsidR="00AA2134" w:rsidRPr="00EB4CCD">
        <w:t>a well-recognised</w:t>
      </w:r>
      <w:r w:rsidRPr="00EB4CCD">
        <w:t xml:space="preserve"> financial instrument in this part of the Baltic Sea. At the same time, the Programme anchored itself well in the existing structures, being complementary with other financial instruments at different levels (regional, </w:t>
      </w:r>
      <w:r w:rsidR="00AA2134" w:rsidRPr="00EB4CCD">
        <w:t>national,</w:t>
      </w:r>
      <w:r w:rsidRPr="00EB4CCD">
        <w:t xml:space="preserve"> and international). </w:t>
      </w:r>
    </w:p>
    <w:p w14:paraId="5E1B7695" w14:textId="77777777" w:rsidR="007A5351" w:rsidRPr="00DE68FB" w:rsidRDefault="007A5351" w:rsidP="003C58C0">
      <w:pPr>
        <w:spacing w:line="360" w:lineRule="auto"/>
      </w:pPr>
      <w:r w:rsidRPr="00DE68FB">
        <w:t>Interreg Baltic Sea Region Programme</w:t>
      </w:r>
    </w:p>
    <w:p w14:paraId="5EA110C3" w14:textId="141C7967" w:rsidR="007A5351" w:rsidRPr="00EB4CCD" w:rsidRDefault="007A5351" w:rsidP="003C58C0">
      <w:pPr>
        <w:spacing w:line="360" w:lineRule="auto"/>
      </w:pPr>
      <w:r w:rsidRPr="00EB4CCD">
        <w:t>The Programme covers the following territory:</w:t>
      </w:r>
      <w:r w:rsidR="002D77A5" w:rsidRPr="00EB4CCD">
        <w:t xml:space="preserve"> </w:t>
      </w:r>
      <w:r w:rsidRPr="00EB4CCD">
        <w:t xml:space="preserve">Denmark, Estonia, Finland, Germany (the States of Berlin, Brandenburg, Bremen, Hamburg, Mecklenburg-Vorpommern, Schleswig-Holstein and Niedersachsen), Latvia, Lithuania, Poland and Sweden. </w:t>
      </w:r>
    </w:p>
    <w:p w14:paraId="640CF27D" w14:textId="77777777" w:rsidR="007A5351" w:rsidRPr="00EB4CCD" w:rsidRDefault="007A5351" w:rsidP="003C58C0">
      <w:pPr>
        <w:spacing w:line="360" w:lineRule="auto"/>
      </w:pPr>
      <w:r w:rsidRPr="00EB4CCD">
        <w:lastRenderedPageBreak/>
        <w:t xml:space="preserve">In addition, organisations from Norway can take part in projects. </w:t>
      </w:r>
    </w:p>
    <w:p w14:paraId="5FBF8398" w14:textId="44B681A0" w:rsidR="007A5351" w:rsidRPr="00EB4CCD" w:rsidRDefault="007A5351" w:rsidP="003C58C0">
      <w:pPr>
        <w:spacing w:line="360" w:lineRule="auto"/>
      </w:pPr>
      <w:r w:rsidRPr="00EB4CCD">
        <w:t xml:space="preserve">The </w:t>
      </w:r>
      <w:r w:rsidRPr="00EB4CCD">
        <w:rPr>
          <w:rFonts w:ascii="Open Sans SemiBold" w:eastAsia="Open Sans SemiBold" w:hAnsi="Open Sans SemiBold" w:cs="Open Sans SemiBold"/>
          <w:bCs/>
          <w:color w:val="003399"/>
        </w:rPr>
        <w:t>overlapping territory</w:t>
      </w:r>
      <w:r w:rsidRPr="00EB4CCD">
        <w:rPr>
          <w:sz w:val="18"/>
          <w:szCs w:val="18"/>
        </w:rPr>
        <w:t xml:space="preserve"> </w:t>
      </w:r>
      <w:r w:rsidRPr="00EB4CCD">
        <w:t>with the Interreg Baltic Sea Region Programme: Denmark (Bornholm, Østsjælland, Vest-og Sydsjælland), Sweden (Skåne, Blekinge, Kalmar, Kronobergs), Germany (Nordwestmecklenburg, Rostock, Vorpommern-Rügen, Vorpommern-Greifswald, district-free city of Rostock), Poland (Miasto Szczecin, Szczeciński, Szczecinecko-pyrzycki, Koszaliński, Słupski, Starogardzki, Chojnicki, Gdański, Trójmiejski, Elbląski) and Lithuania (Klaipėdos apskritis, Tauragės apskritis, Telšių apskritis).</w:t>
      </w:r>
    </w:p>
    <w:p w14:paraId="5128446C" w14:textId="77777777" w:rsidR="007A5351" w:rsidRPr="00EB4CCD" w:rsidRDefault="007A5351" w:rsidP="003C58C0">
      <w:pPr>
        <w:spacing w:line="360" w:lineRule="auto"/>
        <w:rPr>
          <w:rFonts w:ascii="Open Sans SemiBold" w:eastAsia="Open Sans SemiBold" w:hAnsi="Open Sans SemiBold" w:cs="Open Sans SemiBold"/>
          <w:bCs/>
          <w:color w:val="003399"/>
        </w:rPr>
      </w:pPr>
      <w:r w:rsidRPr="00EB4CCD">
        <w:t xml:space="preserve">The Programme supports </w:t>
      </w:r>
      <w:r w:rsidRPr="00EB4CCD">
        <w:rPr>
          <w:rFonts w:ascii="Open Sans SemiBold" w:eastAsia="Open Sans SemiBold" w:hAnsi="Open Sans SemiBold" w:cs="Open Sans SemiBold"/>
          <w:bCs/>
          <w:color w:val="003399"/>
        </w:rPr>
        <w:t>four objectives:</w:t>
      </w:r>
    </w:p>
    <w:p w14:paraId="10D5B3C9" w14:textId="60579468" w:rsidR="007A5351" w:rsidRPr="00EB4CCD" w:rsidRDefault="007A5351" w:rsidP="003C58C0">
      <w:pPr>
        <w:pStyle w:val="ListParagraph"/>
        <w:numPr>
          <w:ilvl w:val="0"/>
          <w:numId w:val="9"/>
        </w:numPr>
        <w:spacing w:line="360" w:lineRule="auto"/>
      </w:pPr>
      <w:r w:rsidRPr="00EB4CCD">
        <w:t>Innovative society</w:t>
      </w:r>
      <w:r w:rsidR="00144CC2">
        <w:t>.</w:t>
      </w:r>
    </w:p>
    <w:p w14:paraId="715EE39C" w14:textId="1AE53BB7" w:rsidR="007A5351" w:rsidRPr="00EB4CCD" w:rsidRDefault="007A5351" w:rsidP="003C58C0">
      <w:pPr>
        <w:pStyle w:val="ListParagraph"/>
        <w:numPr>
          <w:ilvl w:val="0"/>
          <w:numId w:val="9"/>
        </w:numPr>
        <w:spacing w:line="360" w:lineRule="auto"/>
      </w:pPr>
      <w:r w:rsidRPr="00EB4CCD">
        <w:t>Water-smart societies</w:t>
      </w:r>
      <w:r w:rsidR="00144CC2">
        <w:t>.</w:t>
      </w:r>
    </w:p>
    <w:p w14:paraId="604EBD59" w14:textId="67309E77" w:rsidR="007A5351" w:rsidRPr="00EB4CCD" w:rsidRDefault="007A5351" w:rsidP="003C58C0">
      <w:pPr>
        <w:pStyle w:val="ListParagraph"/>
        <w:numPr>
          <w:ilvl w:val="0"/>
          <w:numId w:val="9"/>
        </w:numPr>
        <w:spacing w:line="360" w:lineRule="auto"/>
      </w:pPr>
      <w:r w:rsidRPr="00EB4CCD">
        <w:t>Climate-neutral societies</w:t>
      </w:r>
      <w:r w:rsidR="00144CC2">
        <w:t>.</w:t>
      </w:r>
    </w:p>
    <w:p w14:paraId="74FC2FFD" w14:textId="4F3C23E8" w:rsidR="00557405" w:rsidRPr="00EB4CCD" w:rsidRDefault="007A5351" w:rsidP="003C58C0">
      <w:pPr>
        <w:pStyle w:val="ListParagraph"/>
        <w:numPr>
          <w:ilvl w:val="0"/>
          <w:numId w:val="9"/>
        </w:numPr>
        <w:spacing w:line="360" w:lineRule="auto"/>
      </w:pPr>
      <w:r w:rsidRPr="00EB4CCD">
        <w:t>Cooperation governance</w:t>
      </w:r>
      <w:r w:rsidR="00144CC2">
        <w:t>.</w:t>
      </w:r>
    </w:p>
    <w:bookmarkEnd w:id="12"/>
    <w:p w14:paraId="5DC32431" w14:textId="77777777" w:rsidR="007A5351" w:rsidRPr="00DE68FB" w:rsidRDefault="007A5351" w:rsidP="003C58C0">
      <w:pPr>
        <w:spacing w:line="360" w:lineRule="auto"/>
      </w:pPr>
      <w:r w:rsidRPr="00DE68FB">
        <w:t>Interreg Central Baltic Programme</w:t>
      </w:r>
    </w:p>
    <w:p w14:paraId="22505AEC" w14:textId="4E324E73" w:rsidR="007A5351" w:rsidRPr="00EB4CCD" w:rsidRDefault="007A5351" w:rsidP="003C58C0">
      <w:pPr>
        <w:spacing w:line="360" w:lineRule="auto"/>
      </w:pPr>
      <w:r w:rsidRPr="00EB4CCD">
        <w:t>The Programme covers the following territory:</w:t>
      </w:r>
      <w:r w:rsidR="002D77A5" w:rsidRPr="00EB4CCD">
        <w:t xml:space="preserve"> </w:t>
      </w:r>
      <w:r w:rsidRPr="0073010A">
        <w:t xml:space="preserve">Estonia </w:t>
      </w:r>
      <w:r w:rsidRPr="00EB4CCD">
        <w:t xml:space="preserve">(Kesk-Eesti, Kirde-Eesti, Lääne-Eesti, Põhja-Eesti and Lõuna-Eesti), </w:t>
      </w:r>
      <w:r w:rsidRPr="0073010A">
        <w:t>Finland</w:t>
      </w:r>
      <w:r w:rsidRPr="00EB4CCD">
        <w:t xml:space="preserve"> (Kymenlaakso, Satakunta, Uusimaa, Varsinais-Suomi, Etelä-Karjala, Kanta-Häme, Pirkanmaa, Päijät-Häme and Åland (</w:t>
      </w:r>
      <w:r w:rsidR="003929DE" w:rsidRPr="00EB4CCD">
        <w:t>autonomous</w:t>
      </w:r>
      <w:r w:rsidRPr="00EB4CCD">
        <w:t xml:space="preserve">)), </w:t>
      </w:r>
      <w:r w:rsidRPr="0073010A">
        <w:t>Latvia</w:t>
      </w:r>
      <w:r w:rsidRPr="00EB4CCD">
        <w:t xml:space="preserve"> (Kurzeme, Pierīga, Rīga, Vidzeme and Zemgale) and </w:t>
      </w:r>
      <w:r w:rsidRPr="0073010A">
        <w:t>Sweden</w:t>
      </w:r>
      <w:r w:rsidRPr="00EB4CCD">
        <w:t xml:space="preserve"> (Gotlands, Gävleborgs, Stockholms,Södermanlands, Uppsala, Östergötlands, Västmanlands and Örebro).</w:t>
      </w:r>
    </w:p>
    <w:p w14:paraId="7FBCD185" w14:textId="77777777" w:rsidR="007A5351" w:rsidRPr="00EB4CCD" w:rsidRDefault="007A5351" w:rsidP="003C58C0">
      <w:pPr>
        <w:spacing w:line="360" w:lineRule="auto"/>
      </w:pPr>
      <w:r w:rsidRPr="00EB4CCD">
        <w:t xml:space="preserve">The Programme supports </w:t>
      </w:r>
      <w:r w:rsidRPr="0073010A">
        <w:rPr>
          <w:rFonts w:ascii="Open Sans SemiBold" w:eastAsia="Open Sans SemiBold" w:hAnsi="Open Sans SemiBold" w:cs="Open Sans SemiBold"/>
          <w:bCs/>
          <w:color w:val="003399"/>
        </w:rPr>
        <w:t>four priorities:</w:t>
      </w:r>
    </w:p>
    <w:p w14:paraId="09BEC797" w14:textId="513A4B9B" w:rsidR="007A5351" w:rsidRPr="00EB4CCD" w:rsidRDefault="007A5351" w:rsidP="003C58C0">
      <w:pPr>
        <w:pStyle w:val="ListParagraph"/>
        <w:numPr>
          <w:ilvl w:val="0"/>
          <w:numId w:val="31"/>
        </w:numPr>
        <w:spacing w:line="360" w:lineRule="auto"/>
      </w:pPr>
      <w:r w:rsidRPr="00EB4CCD">
        <w:t>Innovative business development</w:t>
      </w:r>
      <w:r w:rsidR="00144CC2">
        <w:t>.</w:t>
      </w:r>
    </w:p>
    <w:p w14:paraId="76FBB176" w14:textId="4473485C" w:rsidR="007A5351" w:rsidRPr="00EB4CCD" w:rsidRDefault="007A5351" w:rsidP="003C58C0">
      <w:pPr>
        <w:pStyle w:val="ListParagraph"/>
        <w:numPr>
          <w:ilvl w:val="0"/>
          <w:numId w:val="31"/>
        </w:numPr>
        <w:spacing w:line="360" w:lineRule="auto"/>
      </w:pPr>
      <w:r w:rsidRPr="00EB4CCD">
        <w:t>Improved environment and resource use</w:t>
      </w:r>
      <w:r w:rsidR="00144CC2">
        <w:t>.</w:t>
      </w:r>
    </w:p>
    <w:p w14:paraId="30D3F241" w14:textId="15ABBD1A" w:rsidR="007A5351" w:rsidRPr="00EB4CCD" w:rsidRDefault="007A5351" w:rsidP="003C58C0">
      <w:pPr>
        <w:pStyle w:val="ListParagraph"/>
        <w:numPr>
          <w:ilvl w:val="0"/>
          <w:numId w:val="31"/>
        </w:numPr>
        <w:spacing w:line="360" w:lineRule="auto"/>
      </w:pPr>
      <w:r w:rsidRPr="00EB4CCD">
        <w:t>Improved employment opportunities</w:t>
      </w:r>
      <w:r w:rsidR="00144CC2">
        <w:t>.</w:t>
      </w:r>
    </w:p>
    <w:p w14:paraId="4E018127" w14:textId="78825373" w:rsidR="007A5351" w:rsidRPr="00EB4CCD" w:rsidRDefault="007A5351" w:rsidP="003C58C0">
      <w:pPr>
        <w:pStyle w:val="ListParagraph"/>
        <w:numPr>
          <w:ilvl w:val="0"/>
          <w:numId w:val="31"/>
        </w:numPr>
        <w:spacing w:line="360" w:lineRule="auto"/>
      </w:pPr>
      <w:r w:rsidRPr="00EB4CCD">
        <w:t>Improved public services</w:t>
      </w:r>
      <w:r w:rsidR="00144CC2">
        <w:t>.</w:t>
      </w:r>
    </w:p>
    <w:p w14:paraId="2AC49155" w14:textId="77777777" w:rsidR="007A5351" w:rsidRPr="00805C22" w:rsidRDefault="007A5351" w:rsidP="003C58C0">
      <w:pPr>
        <w:spacing w:line="360" w:lineRule="auto"/>
        <w:rPr>
          <w:lang w:val="de-DE"/>
        </w:rPr>
      </w:pPr>
      <w:r w:rsidRPr="00805C22">
        <w:rPr>
          <w:lang w:val="de-DE"/>
        </w:rPr>
        <w:lastRenderedPageBreak/>
        <w:t>Interreg Germany/Mecklenburg Vorpommern-Brandenburg-Poland Programme</w:t>
      </w:r>
    </w:p>
    <w:p w14:paraId="52082D63" w14:textId="5EC8DAC0" w:rsidR="007A5351" w:rsidRPr="00805C22" w:rsidRDefault="007A5351" w:rsidP="003C58C0">
      <w:pPr>
        <w:spacing w:line="360" w:lineRule="auto"/>
        <w:rPr>
          <w:lang w:val="de-DE"/>
        </w:rPr>
      </w:pPr>
      <w:r w:rsidRPr="00805C22">
        <w:rPr>
          <w:lang w:val="de-DE"/>
        </w:rPr>
        <w:t>The Programme covers the following territory: Germany: the eastern part of Mecklenburg-Vorpommern (Vorpommern-Greifswald, Vorpommern-Rügen and Mecklenburgische Seenplatte), the north-east of Brandenburg (Uckermark, Barnim and Märkisch-Oderland), Poland: the West Pomeranian Voivodeship (Koszaliński, Szczecinecko-Pyrzycki, S</w:t>
      </w:r>
      <w:r w:rsidR="006446C6" w:rsidRPr="00805C22">
        <w:rPr>
          <w:lang w:val="de-DE"/>
        </w:rPr>
        <w:t>z</w:t>
      </w:r>
      <w:r w:rsidRPr="00805C22">
        <w:rPr>
          <w:lang w:val="de-DE"/>
        </w:rPr>
        <w:t xml:space="preserve">czeciński, Miasto Szczecin) </w:t>
      </w:r>
    </w:p>
    <w:p w14:paraId="1EC2220F" w14:textId="397C473C" w:rsidR="007A5351" w:rsidRPr="00805C22" w:rsidRDefault="007A5351" w:rsidP="003C58C0">
      <w:pPr>
        <w:spacing w:line="360" w:lineRule="auto"/>
        <w:rPr>
          <w:lang w:val="de-DE"/>
        </w:rPr>
      </w:pPr>
      <w:r w:rsidRPr="00805C22">
        <w:rPr>
          <w:lang w:val="de-DE"/>
        </w:rPr>
        <w:t xml:space="preserve">The </w:t>
      </w:r>
      <w:r w:rsidRPr="00805C22">
        <w:rPr>
          <w:rFonts w:ascii="Open Sans SemiBold" w:eastAsia="Open Sans SemiBold" w:hAnsi="Open Sans SemiBold" w:cs="Open Sans SemiBold"/>
          <w:bCs/>
          <w:color w:val="003399"/>
          <w:lang w:val="de-DE"/>
        </w:rPr>
        <w:t>overlapping territory</w:t>
      </w:r>
      <w:r w:rsidRPr="00805C22">
        <w:rPr>
          <w:lang w:val="de-DE"/>
        </w:rPr>
        <w:t xml:space="preserve"> with the Interreg Germany/Mecklenburg Vorpommern-Brandenburg-Poland Programme: Germany (districts of Mecklen</w:t>
      </w:r>
      <w:r w:rsidRPr="00805C22">
        <w:rPr>
          <w:lang w:val="de-DE"/>
        </w:rPr>
        <w:softHyphen/>
        <w:t>burg-Vorpommern: Vorpommern-Rügen, Vorpommern-Greifswald)</w:t>
      </w:r>
      <w:r w:rsidR="003929DE" w:rsidRPr="00805C22">
        <w:rPr>
          <w:lang w:val="de-DE"/>
        </w:rPr>
        <w:t xml:space="preserve"> and</w:t>
      </w:r>
      <w:r w:rsidRPr="00805C22">
        <w:rPr>
          <w:lang w:val="de-DE"/>
        </w:rPr>
        <w:t xml:space="preserve"> Poland (Koszaliński, Szczecinecko-Pyrzycki, Szczeciński, Miasto Szczecin).</w:t>
      </w:r>
    </w:p>
    <w:p w14:paraId="18A14CED" w14:textId="77777777" w:rsidR="007A5351" w:rsidRPr="00EB4CCD" w:rsidRDefault="007A5351" w:rsidP="003C58C0">
      <w:pPr>
        <w:spacing w:line="360" w:lineRule="auto"/>
      </w:pPr>
      <w:r w:rsidRPr="00EB4CCD">
        <w:t xml:space="preserve">The Programme supports </w:t>
      </w:r>
      <w:r w:rsidRPr="0073010A">
        <w:rPr>
          <w:rFonts w:ascii="Open Sans SemiBold" w:eastAsia="Open Sans SemiBold" w:hAnsi="Open Sans SemiBold" w:cs="Open Sans SemiBold"/>
          <w:bCs/>
          <w:color w:val="003399"/>
        </w:rPr>
        <w:t>four priorities:</w:t>
      </w:r>
      <w:r w:rsidRPr="00EB4CCD">
        <w:t xml:space="preserve"> </w:t>
      </w:r>
    </w:p>
    <w:p w14:paraId="7F10F1C4" w14:textId="36365596" w:rsidR="007A5351" w:rsidRPr="00EB4CCD" w:rsidRDefault="007A5351" w:rsidP="003C58C0">
      <w:pPr>
        <w:pStyle w:val="ListParagraph"/>
        <w:numPr>
          <w:ilvl w:val="0"/>
          <w:numId w:val="32"/>
        </w:numPr>
        <w:spacing w:line="360" w:lineRule="auto"/>
      </w:pPr>
      <w:r w:rsidRPr="00EB4CCD">
        <w:t>Activation of cross-border innovation potential</w:t>
      </w:r>
      <w:r w:rsidR="00144CC2">
        <w:t>.</w:t>
      </w:r>
    </w:p>
    <w:p w14:paraId="4817EBF5" w14:textId="4DB6F0B7" w:rsidR="007A5351" w:rsidRPr="00EB4CCD" w:rsidRDefault="007A5351" w:rsidP="003C58C0">
      <w:pPr>
        <w:pStyle w:val="ListParagraph"/>
        <w:numPr>
          <w:ilvl w:val="0"/>
          <w:numId w:val="32"/>
        </w:numPr>
        <w:spacing w:line="360" w:lineRule="auto"/>
      </w:pPr>
      <w:r w:rsidRPr="00EB4CCD">
        <w:t>Overcoming the effects of climate change and protecting nature</w:t>
      </w:r>
      <w:r w:rsidR="00144CC2">
        <w:t>.</w:t>
      </w:r>
    </w:p>
    <w:p w14:paraId="58C3E44E" w14:textId="7E3D7498" w:rsidR="007A5351" w:rsidRPr="00EB4CCD" w:rsidRDefault="007A5351" w:rsidP="003C58C0">
      <w:pPr>
        <w:pStyle w:val="ListParagraph"/>
        <w:numPr>
          <w:ilvl w:val="0"/>
          <w:numId w:val="32"/>
        </w:numPr>
        <w:spacing w:line="360" w:lineRule="auto"/>
      </w:pPr>
      <w:r w:rsidRPr="00EB4CCD">
        <w:t xml:space="preserve">Better participation in cross-border daily life through language, </w:t>
      </w:r>
      <w:r w:rsidR="006B09AD" w:rsidRPr="00EB4CCD">
        <w:t>culture,</w:t>
      </w:r>
      <w:r w:rsidRPr="00EB4CCD">
        <w:t xml:space="preserve"> and tourism</w:t>
      </w:r>
      <w:r w:rsidR="00144CC2">
        <w:t>.</w:t>
      </w:r>
    </w:p>
    <w:p w14:paraId="6E1A570E" w14:textId="16AEDC70" w:rsidR="007A5351" w:rsidRPr="00EB4CCD" w:rsidRDefault="007A5351" w:rsidP="003C58C0">
      <w:pPr>
        <w:pStyle w:val="ListParagraph"/>
        <w:numPr>
          <w:ilvl w:val="0"/>
          <w:numId w:val="32"/>
        </w:numPr>
        <w:spacing w:line="360" w:lineRule="auto"/>
      </w:pPr>
      <w:r w:rsidRPr="00EB4CCD">
        <w:t>Strengthening trust, jointly shaping cross-border development</w:t>
      </w:r>
      <w:r w:rsidR="00144CC2">
        <w:t>.</w:t>
      </w:r>
    </w:p>
    <w:p w14:paraId="038AA24F" w14:textId="77777777" w:rsidR="007A5351" w:rsidRPr="00DE68FB" w:rsidRDefault="007A5351" w:rsidP="003C58C0">
      <w:pPr>
        <w:spacing w:line="360" w:lineRule="auto"/>
      </w:pPr>
      <w:r w:rsidRPr="00DE68FB">
        <w:t>Interreg Öresund-Kattegat-Skagerrak Programme</w:t>
      </w:r>
    </w:p>
    <w:p w14:paraId="78816BAA" w14:textId="610D3B6B" w:rsidR="007A5351" w:rsidRPr="00EB4CCD" w:rsidRDefault="007A5351" w:rsidP="003C58C0">
      <w:pPr>
        <w:spacing w:line="360" w:lineRule="auto"/>
      </w:pPr>
      <w:bookmarkStart w:id="13" w:name="_Hlk107488811"/>
      <w:r w:rsidRPr="00EB4CCD">
        <w:t>The Programme covers the following territory:</w:t>
      </w:r>
      <w:r w:rsidR="002D77A5" w:rsidRPr="00EB4CCD">
        <w:t xml:space="preserve"> </w:t>
      </w:r>
      <w:r w:rsidRPr="0073010A">
        <w:t>Swed</w:t>
      </w:r>
      <w:r w:rsidR="00540DD3" w:rsidRPr="0073010A">
        <w:t>en</w:t>
      </w:r>
      <w:r w:rsidRPr="0073010A">
        <w:t>:</w:t>
      </w:r>
      <w:r w:rsidRPr="00EB4CCD">
        <w:t xml:space="preserve"> Skåne, Halland, Västra Götaland, </w:t>
      </w:r>
      <w:r w:rsidRPr="0073010A">
        <w:t>D</w:t>
      </w:r>
      <w:r w:rsidR="000C03DA" w:rsidRPr="0073010A">
        <w:t>enmark</w:t>
      </w:r>
      <w:r w:rsidRPr="0073010A">
        <w:t>:</w:t>
      </w:r>
      <w:r w:rsidRPr="00EB4CCD">
        <w:t xml:space="preserve"> Østsjælland, Vest-og Sydsjælland, Hovedstaden Bornholm, North Jutland, Midtjylland and Norwegian Viken, Oslo, Vestfold og Telemark and Agder).</w:t>
      </w:r>
    </w:p>
    <w:p w14:paraId="180C5717" w14:textId="40CFF099" w:rsidR="007A5351" w:rsidRPr="00EB4CCD" w:rsidRDefault="007A5351" w:rsidP="003C58C0">
      <w:pPr>
        <w:spacing w:line="360" w:lineRule="auto"/>
      </w:pPr>
      <w:r w:rsidRPr="00EB4CCD">
        <w:t xml:space="preserve">The </w:t>
      </w:r>
      <w:r w:rsidRPr="0073010A">
        <w:rPr>
          <w:rFonts w:ascii="Open Sans SemiBold" w:eastAsia="Open Sans SemiBold" w:hAnsi="Open Sans SemiBold" w:cs="Open Sans SemiBold"/>
          <w:bCs/>
          <w:color w:val="003399"/>
        </w:rPr>
        <w:t>overlapping territory</w:t>
      </w:r>
      <w:r w:rsidRPr="00EB4CCD">
        <w:t xml:space="preserve"> with the Interreg Öresund-Kattegat-Skagerrak Programme: </w:t>
      </w:r>
      <w:r w:rsidRPr="0073010A">
        <w:t xml:space="preserve">Denmark </w:t>
      </w:r>
      <w:r w:rsidRPr="00EB4CCD">
        <w:t>(Bornholm, Østsjælland, Vest-og Sydsjælland</w:t>
      </w:r>
      <w:r w:rsidR="009D4C65" w:rsidRPr="00EB4CCD">
        <w:t xml:space="preserve">) and </w:t>
      </w:r>
      <w:r w:rsidRPr="0073010A">
        <w:t xml:space="preserve">Sweden </w:t>
      </w:r>
      <w:r w:rsidRPr="00EB4CCD">
        <w:t>(Skåne).</w:t>
      </w:r>
    </w:p>
    <w:bookmarkEnd w:id="13"/>
    <w:p w14:paraId="2C75CA6C" w14:textId="77777777" w:rsidR="007A5351" w:rsidRPr="00EB4CCD" w:rsidRDefault="007A5351" w:rsidP="003C58C0">
      <w:pPr>
        <w:spacing w:line="360" w:lineRule="auto"/>
        <w:rPr>
          <w:rFonts w:eastAsia="Open Sans" w:cs="Open Sans"/>
        </w:rPr>
      </w:pPr>
      <w:r w:rsidRPr="00EB4CCD">
        <w:rPr>
          <w:rFonts w:eastAsia="Open Sans" w:cs="Open Sans"/>
        </w:rPr>
        <w:t xml:space="preserve">The Programme supports </w:t>
      </w:r>
      <w:r w:rsidRPr="0073010A">
        <w:t>four areas of intervention:</w:t>
      </w:r>
      <w:r w:rsidRPr="00EB4CCD">
        <w:rPr>
          <w:rFonts w:eastAsia="Open Sans" w:cs="Open Sans"/>
        </w:rPr>
        <w:t xml:space="preserve"> </w:t>
      </w:r>
    </w:p>
    <w:p w14:paraId="3DE36C7F" w14:textId="638E4668" w:rsidR="007A5351" w:rsidRPr="00EB4CCD" w:rsidRDefault="007A5351" w:rsidP="003C58C0">
      <w:pPr>
        <w:pStyle w:val="ListParagraph"/>
        <w:numPr>
          <w:ilvl w:val="0"/>
          <w:numId w:val="33"/>
        </w:numPr>
        <w:spacing w:line="360" w:lineRule="auto"/>
      </w:pPr>
      <w:r w:rsidRPr="00EB4CCD">
        <w:lastRenderedPageBreak/>
        <w:t>Innovation and Entrepreneurship</w:t>
      </w:r>
      <w:r w:rsidR="00144CC2">
        <w:t>.</w:t>
      </w:r>
    </w:p>
    <w:p w14:paraId="58C6271E" w14:textId="642FF60C" w:rsidR="007A5351" w:rsidRPr="00EB4CCD" w:rsidRDefault="007A5351" w:rsidP="003C58C0">
      <w:pPr>
        <w:pStyle w:val="ListParagraph"/>
        <w:numPr>
          <w:ilvl w:val="0"/>
          <w:numId w:val="33"/>
        </w:numPr>
        <w:spacing w:line="360" w:lineRule="auto"/>
      </w:pPr>
      <w:r w:rsidRPr="00EB4CCD">
        <w:t>Green Transition</w:t>
      </w:r>
      <w:r w:rsidR="00144CC2">
        <w:t>.</w:t>
      </w:r>
    </w:p>
    <w:p w14:paraId="44D781B7" w14:textId="3853CA12" w:rsidR="007A5351" w:rsidRPr="00EB4CCD" w:rsidRDefault="007A5351" w:rsidP="003C58C0">
      <w:pPr>
        <w:pStyle w:val="ListParagraph"/>
        <w:numPr>
          <w:ilvl w:val="0"/>
          <w:numId w:val="33"/>
        </w:numPr>
        <w:spacing w:line="360" w:lineRule="auto"/>
      </w:pPr>
      <w:r w:rsidRPr="00EB4CCD">
        <w:t>Transport and Mobility</w:t>
      </w:r>
      <w:r w:rsidR="00144CC2">
        <w:t>.</w:t>
      </w:r>
    </w:p>
    <w:p w14:paraId="5A00383C" w14:textId="017BE9D0" w:rsidR="00061A31" w:rsidRPr="00923152" w:rsidRDefault="007A5351" w:rsidP="003C58C0">
      <w:pPr>
        <w:pStyle w:val="ListParagraph"/>
        <w:numPr>
          <w:ilvl w:val="0"/>
          <w:numId w:val="33"/>
        </w:numPr>
        <w:spacing w:line="360" w:lineRule="auto"/>
      </w:pPr>
      <w:r w:rsidRPr="00540DD3">
        <w:t>Borderless Labour Market</w:t>
      </w:r>
      <w:r w:rsidR="00144CC2">
        <w:t>.</w:t>
      </w:r>
    </w:p>
    <w:p w14:paraId="4D3B6BD9" w14:textId="7330E6B5" w:rsidR="00AE6BCF" w:rsidRPr="002F64EA" w:rsidRDefault="00AE6BCF" w:rsidP="003C58C0">
      <w:pPr>
        <w:pStyle w:val="Heading2"/>
        <w:spacing w:line="360" w:lineRule="auto"/>
      </w:pPr>
      <w:bookmarkStart w:id="14" w:name="_Toc147242367"/>
      <w:r w:rsidRPr="00BD4290">
        <w:t xml:space="preserve">4 </w:t>
      </w:r>
      <w:r w:rsidR="0048657C" w:rsidRPr="00BD4290">
        <w:t>COMPLIANCE</w:t>
      </w:r>
      <w:r w:rsidRPr="00BD4290">
        <w:t xml:space="preserve"> WITH DNSH PRINCIPLE, EUSBSR AND OTHER INITIATIVES</w:t>
      </w:r>
      <w:bookmarkEnd w:id="14"/>
    </w:p>
    <w:p w14:paraId="458567A0" w14:textId="7DDB8B65" w:rsidR="00955C21" w:rsidRPr="00BD4290" w:rsidRDefault="00955C21" w:rsidP="003C58C0">
      <w:pPr>
        <w:pStyle w:val="Heading3"/>
        <w:spacing w:line="360" w:lineRule="auto"/>
      </w:pPr>
      <w:bookmarkStart w:id="15" w:name="_Toc147242368"/>
      <w:r w:rsidRPr="00BD4290">
        <w:t xml:space="preserve">4.1 Compliance with </w:t>
      </w:r>
      <w:r w:rsidR="00894731" w:rsidRPr="00BD4290">
        <w:t xml:space="preserve">the </w:t>
      </w:r>
      <w:r w:rsidRPr="00BD4290">
        <w:t>DNSH principle</w:t>
      </w:r>
      <w:bookmarkEnd w:id="15"/>
    </w:p>
    <w:p w14:paraId="23DFB51A" w14:textId="1B2DCC59" w:rsidR="00F77B1D" w:rsidRPr="000C03DA" w:rsidRDefault="00F77B1D" w:rsidP="003C58C0">
      <w:pPr>
        <w:spacing w:line="360" w:lineRule="auto"/>
      </w:pPr>
      <w:r w:rsidRPr="000C03DA">
        <w:t>The</w:t>
      </w:r>
      <w:r w:rsidR="00D36DD0" w:rsidRPr="000C03DA">
        <w:t xml:space="preserve"> Do no significant harm (hereinafter –</w:t>
      </w:r>
      <w:r w:rsidR="009D4C65" w:rsidRPr="000C03DA">
        <w:t xml:space="preserve"> </w:t>
      </w:r>
      <w:r w:rsidR="00F02972" w:rsidRPr="000C03DA">
        <w:t>‘</w:t>
      </w:r>
      <w:r w:rsidR="00D36DD0" w:rsidRPr="000C03DA">
        <w:t>DNSH</w:t>
      </w:r>
      <w:r w:rsidR="00F02972" w:rsidRPr="000C03DA">
        <w:t>’</w:t>
      </w:r>
      <w:r w:rsidR="00D36DD0" w:rsidRPr="000C03DA">
        <w:t>)</w:t>
      </w:r>
      <w:r w:rsidRPr="000C03DA">
        <w:t xml:space="preserve"> principle is set out in </w:t>
      </w:r>
      <w:r w:rsidR="00894731" w:rsidRPr="000C03DA">
        <w:t xml:space="preserve">the </w:t>
      </w:r>
      <w:r w:rsidRPr="000C03DA">
        <w:t>Regulation (EU) 2020/852 on establishing a framework to facilitate sustainable investment and amending Regulation (EU) 2019/2088. It aims to classify certain economic activities as ‘environmentally sustainable’ – understood as activities which contribute significantly to one or more of the six environmental objectives:</w:t>
      </w:r>
    </w:p>
    <w:p w14:paraId="7A211222" w14:textId="09C578CD" w:rsidR="00F77B1D" w:rsidRPr="000C03DA" w:rsidRDefault="00F77B1D" w:rsidP="003C58C0">
      <w:pPr>
        <w:pStyle w:val="ListParagraph"/>
        <w:numPr>
          <w:ilvl w:val="0"/>
          <w:numId w:val="34"/>
        </w:numPr>
        <w:spacing w:line="360" w:lineRule="auto"/>
      </w:pPr>
      <w:r w:rsidRPr="000C03DA">
        <w:t>Climate change mitigation</w:t>
      </w:r>
      <w:r w:rsidR="00144CC2">
        <w:t>.</w:t>
      </w:r>
    </w:p>
    <w:p w14:paraId="079E2E0A" w14:textId="77B818B4" w:rsidR="00F77B1D" w:rsidRPr="000C03DA" w:rsidRDefault="00F77B1D" w:rsidP="003C58C0">
      <w:pPr>
        <w:pStyle w:val="ListParagraph"/>
        <w:numPr>
          <w:ilvl w:val="0"/>
          <w:numId w:val="34"/>
        </w:numPr>
        <w:spacing w:line="360" w:lineRule="auto"/>
      </w:pPr>
      <w:r w:rsidRPr="000C03DA">
        <w:t>Climate change adaptation</w:t>
      </w:r>
      <w:r w:rsidR="00144CC2">
        <w:t>.</w:t>
      </w:r>
    </w:p>
    <w:p w14:paraId="5D56987C" w14:textId="6C989AA0" w:rsidR="00F77B1D" w:rsidRPr="000C03DA" w:rsidRDefault="00F77B1D" w:rsidP="003C58C0">
      <w:pPr>
        <w:pStyle w:val="ListParagraph"/>
        <w:numPr>
          <w:ilvl w:val="0"/>
          <w:numId w:val="34"/>
        </w:numPr>
        <w:spacing w:line="360" w:lineRule="auto"/>
      </w:pPr>
      <w:r w:rsidRPr="000C03DA">
        <w:t>The sustainable use and protection of water and marine resources</w:t>
      </w:r>
      <w:r w:rsidR="00144CC2">
        <w:t>.</w:t>
      </w:r>
    </w:p>
    <w:p w14:paraId="70A77489" w14:textId="3570DDA4" w:rsidR="00F77B1D" w:rsidRPr="000C03DA" w:rsidRDefault="00F77B1D" w:rsidP="003C58C0">
      <w:pPr>
        <w:pStyle w:val="ListParagraph"/>
        <w:numPr>
          <w:ilvl w:val="0"/>
          <w:numId w:val="34"/>
        </w:numPr>
        <w:spacing w:line="360" w:lineRule="auto"/>
      </w:pPr>
      <w:r w:rsidRPr="000C03DA">
        <w:t>The transition to a circular economy, including waste prevention and recycling</w:t>
      </w:r>
      <w:r w:rsidR="00144CC2">
        <w:t>.</w:t>
      </w:r>
    </w:p>
    <w:p w14:paraId="4F2C0BE6" w14:textId="45F3BD9C" w:rsidR="00F77B1D" w:rsidRPr="000C03DA" w:rsidRDefault="00F77B1D" w:rsidP="003C58C0">
      <w:pPr>
        <w:pStyle w:val="ListParagraph"/>
        <w:numPr>
          <w:ilvl w:val="0"/>
          <w:numId w:val="34"/>
        </w:numPr>
        <w:spacing w:line="360" w:lineRule="auto"/>
      </w:pPr>
      <w:r w:rsidRPr="000C03DA">
        <w:t>Pollution prevention and control</w:t>
      </w:r>
      <w:r w:rsidR="00144CC2">
        <w:t>.</w:t>
      </w:r>
    </w:p>
    <w:p w14:paraId="2F56D306" w14:textId="32BDEC21" w:rsidR="00F77B1D" w:rsidRPr="000C03DA" w:rsidRDefault="00F77B1D" w:rsidP="003C58C0">
      <w:pPr>
        <w:pStyle w:val="ListParagraph"/>
        <w:numPr>
          <w:ilvl w:val="0"/>
          <w:numId w:val="34"/>
        </w:numPr>
        <w:spacing w:line="360" w:lineRule="auto"/>
      </w:pPr>
      <w:r w:rsidRPr="000C03DA">
        <w:t>The protection and restoration of biodiversity and ecosystems</w:t>
      </w:r>
      <w:r w:rsidR="00144CC2">
        <w:t>.</w:t>
      </w:r>
    </w:p>
    <w:p w14:paraId="30EA5111" w14:textId="6CE1D587" w:rsidR="00F77B1D" w:rsidRPr="000C03DA" w:rsidRDefault="00F77B1D" w:rsidP="003C58C0">
      <w:pPr>
        <w:spacing w:line="360" w:lineRule="auto"/>
      </w:pPr>
      <w:r w:rsidRPr="000C03DA">
        <w:t xml:space="preserve">Activities shall not cause serious harm to any of the environmental objectives and shall also comply with minimum social safeguards. </w:t>
      </w:r>
    </w:p>
    <w:p w14:paraId="2834C262" w14:textId="5DF1082E" w:rsidR="00F77B1D" w:rsidRPr="000C03DA" w:rsidRDefault="00F77B1D" w:rsidP="003C58C0">
      <w:pPr>
        <w:spacing w:line="360" w:lineRule="auto"/>
      </w:pPr>
      <w:r w:rsidRPr="000C03DA">
        <w:t xml:space="preserve">Compliance of activities with the DNSH principle is already clearly stated in the Programme and supported by </w:t>
      </w:r>
      <w:r w:rsidR="009D4C65" w:rsidRPr="000C03DA">
        <w:t xml:space="preserve">a </w:t>
      </w:r>
      <w:r w:rsidRPr="000C03DA">
        <w:t xml:space="preserve">Strategic Environmental Assessment report. </w:t>
      </w:r>
      <w:r w:rsidR="005E3231" w:rsidRPr="000C03DA">
        <w:t>The</w:t>
      </w:r>
      <w:r w:rsidRPr="000C03DA">
        <w:t xml:space="preserve"> Programme does not expect to </w:t>
      </w:r>
      <w:r w:rsidR="009D4C65" w:rsidRPr="000C03DA">
        <w:t xml:space="preserve">cause </w:t>
      </w:r>
      <w:r w:rsidRPr="000C03DA">
        <w:t xml:space="preserve">any significant damage to the environment due to </w:t>
      </w:r>
      <w:r w:rsidR="009D4C65" w:rsidRPr="000C03DA">
        <w:t xml:space="preserve">the nature of the </w:t>
      </w:r>
      <w:r w:rsidRPr="000C03DA">
        <w:t xml:space="preserve">actions: </w:t>
      </w:r>
      <w:r w:rsidR="003C435C" w:rsidRPr="000C03DA">
        <w:t>t</w:t>
      </w:r>
      <w:r w:rsidRPr="000C03DA">
        <w:t>he types of actions have been assessed as compatible with the DNSH principle and are not expected to have any significant negative environmental impact due to their nature.</w:t>
      </w:r>
    </w:p>
    <w:p w14:paraId="1882A0DC" w14:textId="5CBD47DB" w:rsidR="00955C21" w:rsidRPr="000C03DA" w:rsidRDefault="00F77B1D" w:rsidP="003C58C0">
      <w:pPr>
        <w:spacing w:line="360" w:lineRule="auto"/>
      </w:pPr>
      <w:r w:rsidRPr="000C03DA">
        <w:lastRenderedPageBreak/>
        <w:t xml:space="preserve">However, the project should justify that it will not plan actions which can cause any serious damage to the environment. </w:t>
      </w:r>
      <w:r w:rsidR="00894731" w:rsidRPr="000C03DA">
        <w:t xml:space="preserve">The </w:t>
      </w:r>
      <w:r w:rsidRPr="000C03DA">
        <w:t xml:space="preserve">DNSH principle is treated as a part of sustainable development principle and will be a subject of assessment. Detailed information is provided in </w:t>
      </w:r>
      <w:r w:rsidR="002709C0" w:rsidRPr="000C03DA">
        <w:t>Annex 6 P</w:t>
      </w:r>
      <w:r w:rsidRPr="000C03DA">
        <w:t>roject selection</w:t>
      </w:r>
      <w:r w:rsidR="00871282" w:rsidRPr="000C03DA">
        <w:t xml:space="preserve"> process and</w:t>
      </w:r>
      <w:r w:rsidRPr="000C03DA">
        <w:t xml:space="preserve"> criteria.</w:t>
      </w:r>
    </w:p>
    <w:p w14:paraId="5FC905D3" w14:textId="01647E63" w:rsidR="00955C21" w:rsidRPr="0003579B" w:rsidRDefault="00955C21" w:rsidP="003C58C0">
      <w:pPr>
        <w:pStyle w:val="Heading3"/>
        <w:spacing w:line="360" w:lineRule="auto"/>
      </w:pPr>
      <w:bookmarkStart w:id="16" w:name="_Toc147242369"/>
      <w:r w:rsidRPr="0003579B">
        <w:t>4.2 Contribution to the European Union Strategy for the Baltic Sea Region</w:t>
      </w:r>
      <w:bookmarkEnd w:id="16"/>
      <w:r w:rsidRPr="0003579B">
        <w:t xml:space="preserve"> </w:t>
      </w:r>
    </w:p>
    <w:p w14:paraId="37606D0C" w14:textId="4637EFB2" w:rsidR="00F77B1D" w:rsidRPr="000C03DA" w:rsidRDefault="00F77B1D" w:rsidP="003C58C0">
      <w:pPr>
        <w:spacing w:line="360" w:lineRule="auto"/>
      </w:pPr>
      <w:r w:rsidRPr="000C03DA">
        <w:t xml:space="preserve">The general linkage between the </w:t>
      </w:r>
      <w:r w:rsidR="00894731" w:rsidRPr="000C03DA">
        <w:t>P</w:t>
      </w:r>
      <w:r w:rsidRPr="000C03DA">
        <w:t xml:space="preserve">rogramme priorities and the </w:t>
      </w:r>
      <w:r w:rsidR="006B09AD" w:rsidRPr="006B09AD">
        <w:t>European Union Strategy for the Baltic Sea Region (</w:t>
      </w:r>
      <w:r w:rsidRPr="000C03DA">
        <w:t>EUSBSR</w:t>
      </w:r>
      <w:r w:rsidR="006B09AD">
        <w:t>)</w:t>
      </w:r>
      <w:r w:rsidRPr="000C03DA">
        <w:t xml:space="preserve"> is described in the</w:t>
      </w:r>
      <w:r w:rsidR="00B23A7B">
        <w:t xml:space="preserve"> </w:t>
      </w:r>
      <w:hyperlink r:id="rId15" w:history="1">
        <w:r w:rsidR="00B23A7B" w:rsidRPr="0093369F">
          <w:rPr>
            <w:rFonts w:ascii="Open Sans ExtraBold"/>
            <w:b/>
            <w:color w:val="003399"/>
            <w:spacing w:val="-2"/>
          </w:rPr>
          <w:t>Programme document</w:t>
        </w:r>
      </w:hyperlink>
      <w:r w:rsidR="00B23A7B">
        <w:t>.</w:t>
      </w:r>
      <w:r w:rsidRPr="000C03DA">
        <w:t xml:space="preserve"> The </w:t>
      </w:r>
      <w:r w:rsidR="00894731" w:rsidRPr="000C03DA">
        <w:t>Pr</w:t>
      </w:r>
      <w:r w:rsidRPr="000C03DA">
        <w:t>ogramme measures are clearly linked to the main goals of the EUSBSR: Save the Sea, Connect the Region and Increase Prosperity.</w:t>
      </w:r>
    </w:p>
    <w:p w14:paraId="09443A7B" w14:textId="532788EC" w:rsidR="00F77B1D" w:rsidRPr="000C03DA" w:rsidRDefault="00F77B1D" w:rsidP="003C58C0">
      <w:pPr>
        <w:spacing w:line="360" w:lineRule="auto"/>
      </w:pPr>
      <w:r w:rsidRPr="000C03DA">
        <w:t>Strong links to the Policy Areas of the EUSBSR are observed</w:t>
      </w:r>
      <w:r w:rsidR="009D4C65" w:rsidRPr="000C03DA">
        <w:t>,</w:t>
      </w:r>
      <w:r w:rsidRPr="000C03DA">
        <w:t xml:space="preserve"> and complementarity </w:t>
      </w:r>
      <w:r w:rsidR="005D4875" w:rsidRPr="000C03DA">
        <w:t>with the</w:t>
      </w:r>
      <w:r w:rsidRPr="000C03DA">
        <w:t xml:space="preserve"> </w:t>
      </w:r>
      <w:r w:rsidR="005D4875" w:rsidRPr="000C03DA">
        <w:t>Programme measures</w:t>
      </w:r>
      <w:r w:rsidRPr="000C03DA">
        <w:t xml:space="preserve"> </w:t>
      </w:r>
      <w:r w:rsidR="005D4875" w:rsidRPr="000C03DA">
        <w:t xml:space="preserve">are </w:t>
      </w:r>
      <w:r w:rsidRPr="000C03DA">
        <w:t>expected:</w:t>
      </w:r>
    </w:p>
    <w:p w14:paraId="6956C725" w14:textId="2434E461" w:rsidR="00F77B1D" w:rsidRPr="000C03DA" w:rsidRDefault="00F77B1D" w:rsidP="003C58C0">
      <w:pPr>
        <w:pStyle w:val="ListParagraph"/>
        <w:numPr>
          <w:ilvl w:val="0"/>
          <w:numId w:val="34"/>
        </w:numPr>
        <w:spacing w:line="360" w:lineRule="auto"/>
      </w:pPr>
      <w:r w:rsidRPr="000C03DA">
        <w:t>PA Energy</w:t>
      </w:r>
      <w:r w:rsidR="00C32F77" w:rsidRPr="000C03DA">
        <w:t xml:space="preserve"> – </w:t>
      </w:r>
      <w:r w:rsidRPr="000C03DA">
        <w:t>Programme measure 2.1. Supporting transition towards green energy</w:t>
      </w:r>
      <w:r w:rsidR="00322525">
        <w:t>.</w:t>
      </w:r>
    </w:p>
    <w:p w14:paraId="5B90C57F" w14:textId="771283A8" w:rsidR="00F77B1D" w:rsidRPr="000C03DA" w:rsidRDefault="00F77B1D" w:rsidP="003C58C0">
      <w:pPr>
        <w:pStyle w:val="ListParagraph"/>
        <w:numPr>
          <w:ilvl w:val="0"/>
          <w:numId w:val="34"/>
        </w:numPr>
        <w:spacing w:line="360" w:lineRule="auto"/>
      </w:pPr>
      <w:r w:rsidRPr="000C03DA">
        <w:t>PA Tourism</w:t>
      </w:r>
      <w:r w:rsidR="00C32F77" w:rsidRPr="000C03DA">
        <w:t xml:space="preserve"> – </w:t>
      </w:r>
      <w:r w:rsidRPr="000C03DA">
        <w:t xml:space="preserve">Programme measure 3.1. Developing sustainable, </w:t>
      </w:r>
      <w:r w:rsidR="00955C21" w:rsidRPr="000C03DA">
        <w:t>resilient,</w:t>
      </w:r>
      <w:r w:rsidRPr="000C03DA">
        <w:t xml:space="preserve"> and innovative tourism</w:t>
      </w:r>
      <w:r w:rsidR="00322525">
        <w:t>.</w:t>
      </w:r>
      <w:r w:rsidRPr="000C03DA">
        <w:t xml:space="preserve"> </w:t>
      </w:r>
    </w:p>
    <w:p w14:paraId="496FB870" w14:textId="220546B0" w:rsidR="00F77B1D" w:rsidRPr="000C03DA" w:rsidRDefault="00F77B1D" w:rsidP="003C58C0">
      <w:pPr>
        <w:pStyle w:val="ListParagraph"/>
        <w:numPr>
          <w:ilvl w:val="0"/>
          <w:numId w:val="34"/>
        </w:numPr>
        <w:spacing w:line="360" w:lineRule="auto"/>
      </w:pPr>
      <w:r w:rsidRPr="000C03DA">
        <w:t>PA Culture</w:t>
      </w:r>
      <w:r w:rsidR="00C32F77" w:rsidRPr="000C03DA">
        <w:t xml:space="preserve"> – </w:t>
      </w:r>
      <w:r w:rsidRPr="000C03DA">
        <w:t xml:space="preserve">Programme measure 3.1. Developing sustainable, </w:t>
      </w:r>
      <w:r w:rsidR="00955C21" w:rsidRPr="000C03DA">
        <w:t>resilient,</w:t>
      </w:r>
      <w:r w:rsidRPr="000C03DA">
        <w:t xml:space="preserve"> and innovative tourism</w:t>
      </w:r>
      <w:r w:rsidR="00322525">
        <w:t>.</w:t>
      </w:r>
      <w:r w:rsidRPr="000C03DA">
        <w:t xml:space="preserve"> </w:t>
      </w:r>
    </w:p>
    <w:p w14:paraId="4CC46C17" w14:textId="47C64E9A" w:rsidR="00F77B1D" w:rsidRPr="000C03DA" w:rsidRDefault="00F77B1D" w:rsidP="003C58C0">
      <w:pPr>
        <w:pStyle w:val="ListParagraph"/>
        <w:numPr>
          <w:ilvl w:val="0"/>
          <w:numId w:val="34"/>
        </w:numPr>
        <w:spacing w:line="360" w:lineRule="auto"/>
      </w:pPr>
      <w:r w:rsidRPr="000C03DA">
        <w:t>PA Innovations</w:t>
      </w:r>
      <w:r w:rsidR="00C32F77" w:rsidRPr="000C03DA">
        <w:t xml:space="preserve"> – </w:t>
      </w:r>
      <w:r w:rsidRPr="000C03DA">
        <w:t>Programme measure 1.1. Digit</w:t>
      </w:r>
      <w:r w:rsidR="00BE769E" w:rsidRPr="000C03DA">
        <w:t>i</w:t>
      </w:r>
      <w:r w:rsidRPr="000C03DA">
        <w:t>lising the region</w:t>
      </w:r>
      <w:r w:rsidR="00322525">
        <w:t>.</w:t>
      </w:r>
    </w:p>
    <w:p w14:paraId="26738B1D" w14:textId="5A8DC121" w:rsidR="00F77B1D" w:rsidRPr="000C03DA" w:rsidRDefault="00F77B1D" w:rsidP="003C58C0">
      <w:pPr>
        <w:spacing w:line="360" w:lineRule="auto"/>
      </w:pPr>
      <w:r w:rsidRPr="000C03DA">
        <w:t xml:space="preserve">Project applications are strongly encouraged to refer to the EUSBSR. The Strategy is available </w:t>
      </w:r>
      <w:r w:rsidR="00B05D34" w:rsidRPr="000C03DA">
        <w:t>at</w:t>
      </w:r>
      <w:r w:rsidRPr="000C03DA">
        <w:t xml:space="preserve"> the website </w:t>
      </w:r>
      <w:hyperlink r:id="rId16" w:history="1">
        <w:r w:rsidR="000C03DA" w:rsidRPr="00D17E96">
          <w:rPr>
            <w:rStyle w:val="Hyperlink"/>
            <w:rFonts w:eastAsia="Open Sans" w:cs="Open Sans"/>
            <w:sz w:val="20"/>
            <w:szCs w:val="20"/>
          </w:rPr>
          <w:t>https://www.balticsea-region-strategy.eu/</w:t>
        </w:r>
      </w:hyperlink>
      <w:r w:rsidRPr="000C03DA">
        <w:t>. A proactive approach to the Strategy is more than welcomed. The contribution to the EUSBSR and relevant Policy Areas will be assessed</w:t>
      </w:r>
      <w:r w:rsidRPr="00871282">
        <w:rPr>
          <w:rFonts w:ascii="Segoe UI" w:hAnsi="Segoe UI" w:cs="Segoe UI"/>
          <w:lang w:val="en-GB"/>
        </w:rPr>
        <w:t xml:space="preserve"> during </w:t>
      </w:r>
      <w:r w:rsidR="009D4C65">
        <w:rPr>
          <w:rFonts w:ascii="Segoe UI" w:hAnsi="Segoe UI" w:cs="Segoe UI"/>
          <w:lang w:val="en-GB"/>
        </w:rPr>
        <w:t xml:space="preserve">the </w:t>
      </w:r>
      <w:r w:rsidRPr="00871282">
        <w:rPr>
          <w:rFonts w:ascii="Segoe UI" w:hAnsi="Segoe UI" w:cs="Segoe UI"/>
          <w:lang w:val="en-GB"/>
        </w:rPr>
        <w:t xml:space="preserve">quality assessment of </w:t>
      </w:r>
      <w:r w:rsidRPr="000C03DA">
        <w:t>project application. Detailed information is provided in</w:t>
      </w:r>
      <w:r w:rsidR="002709C0" w:rsidRPr="000C03DA">
        <w:t xml:space="preserve"> Annex 6</w:t>
      </w:r>
      <w:r w:rsidRPr="000C03DA">
        <w:t xml:space="preserve"> </w:t>
      </w:r>
      <w:r w:rsidR="002709C0" w:rsidRPr="000C03DA">
        <w:t>P</w:t>
      </w:r>
      <w:r w:rsidRPr="000C03DA">
        <w:t>roject selection</w:t>
      </w:r>
      <w:r w:rsidR="00871282" w:rsidRPr="000C03DA">
        <w:t xml:space="preserve"> process and</w:t>
      </w:r>
      <w:r w:rsidRPr="000C03DA">
        <w:t xml:space="preserve"> criteria.</w:t>
      </w:r>
    </w:p>
    <w:p w14:paraId="39AC9953" w14:textId="77777777" w:rsidR="00F77B1D" w:rsidRPr="000C03DA" w:rsidRDefault="00F77B1D" w:rsidP="003C58C0">
      <w:pPr>
        <w:spacing w:line="360" w:lineRule="auto"/>
      </w:pPr>
      <w:r w:rsidRPr="000C03DA">
        <w:t>Applicants may benefit from reference to the EUSBSR in various ways, by i.a.:</w:t>
      </w:r>
    </w:p>
    <w:p w14:paraId="78E96B5B" w14:textId="3C84955C" w:rsidR="00955C21" w:rsidRPr="000C03DA" w:rsidRDefault="007628D4" w:rsidP="003C58C0">
      <w:pPr>
        <w:pStyle w:val="ListParagraph"/>
        <w:numPr>
          <w:ilvl w:val="0"/>
          <w:numId w:val="34"/>
        </w:numPr>
        <w:spacing w:line="360" w:lineRule="auto"/>
      </w:pPr>
      <w:r>
        <w:lastRenderedPageBreak/>
        <w:t>I</w:t>
      </w:r>
      <w:r w:rsidR="00F77B1D" w:rsidRPr="000C03DA">
        <w:t>mproving visibility of the project</w:t>
      </w:r>
    </w:p>
    <w:p w14:paraId="23E6123C" w14:textId="7791C135" w:rsidR="00955C21" w:rsidRPr="000C03DA" w:rsidRDefault="007628D4" w:rsidP="003C58C0">
      <w:pPr>
        <w:pStyle w:val="ListParagraph"/>
        <w:numPr>
          <w:ilvl w:val="0"/>
          <w:numId w:val="34"/>
        </w:numPr>
        <w:spacing w:line="360" w:lineRule="auto"/>
      </w:pPr>
      <w:r>
        <w:t>B</w:t>
      </w:r>
      <w:r w:rsidR="00F77B1D" w:rsidRPr="000C03DA">
        <w:t>etter and broader capitalisation of project outputs</w:t>
      </w:r>
    </w:p>
    <w:p w14:paraId="708F2162" w14:textId="6222BB4B" w:rsidR="00F77B1D" w:rsidRPr="000C03DA" w:rsidRDefault="007628D4" w:rsidP="003C58C0">
      <w:pPr>
        <w:pStyle w:val="ListParagraph"/>
        <w:numPr>
          <w:ilvl w:val="0"/>
          <w:numId w:val="34"/>
        </w:numPr>
        <w:spacing w:line="360" w:lineRule="auto"/>
      </w:pPr>
      <w:r>
        <w:t>M</w:t>
      </w:r>
      <w:r w:rsidR="00F77B1D" w:rsidRPr="000C03DA">
        <w:t>ainstreaming of jointly developed solutions</w:t>
      </w:r>
    </w:p>
    <w:p w14:paraId="3E00B0A0" w14:textId="006ADE3F" w:rsidR="00F77B1D" w:rsidRPr="000C03DA" w:rsidRDefault="00F77B1D" w:rsidP="003C58C0">
      <w:pPr>
        <w:spacing w:line="360" w:lineRule="auto"/>
      </w:pPr>
      <w:r w:rsidRPr="000C03DA">
        <w:t xml:space="preserve">The JS will provide </w:t>
      </w:r>
      <w:r w:rsidR="009D4C65" w:rsidRPr="000C03DA">
        <w:t xml:space="preserve">the </w:t>
      </w:r>
      <w:r w:rsidRPr="000C03DA">
        <w:t>necessary support and guidance to the applicants on the possibilities and requirements for projects to link with the EUSBSR.</w:t>
      </w:r>
    </w:p>
    <w:p w14:paraId="3B84C610" w14:textId="43EE5F90" w:rsidR="00F77B1D" w:rsidRPr="000C03DA" w:rsidRDefault="00F77B1D" w:rsidP="003C58C0">
      <w:pPr>
        <w:spacing w:line="360" w:lineRule="auto"/>
      </w:pPr>
      <w:r w:rsidRPr="000C03DA">
        <w:t xml:space="preserve">The Programme may also support projects that do not have clear links to the EUSBSR or only limited ones. However, all successful applicants will contribute to </w:t>
      </w:r>
      <w:r w:rsidR="009D4C65" w:rsidRPr="000C03DA">
        <w:t xml:space="preserve">the </w:t>
      </w:r>
      <w:r w:rsidRPr="000C03DA">
        <w:t xml:space="preserve">objectives, </w:t>
      </w:r>
      <w:r w:rsidR="00A32AD5" w:rsidRPr="000C03DA">
        <w:t>priorities,</w:t>
      </w:r>
      <w:r w:rsidRPr="000C03DA">
        <w:t xml:space="preserve"> and measures of the South Baltic Programme. </w:t>
      </w:r>
      <w:r w:rsidR="009D4C65" w:rsidRPr="000C03DA">
        <w:t>Therefore</w:t>
      </w:r>
      <w:r w:rsidRPr="000C03DA">
        <w:t xml:space="preserve">, </w:t>
      </w:r>
      <w:r w:rsidR="009D4C65" w:rsidRPr="000C03DA">
        <w:t xml:space="preserve">a </w:t>
      </w:r>
      <w:r w:rsidRPr="000C03DA">
        <w:t xml:space="preserve">general reference to the EUSBSR will be confirmed indirectly. </w:t>
      </w:r>
    </w:p>
    <w:p w14:paraId="46360438" w14:textId="43F29560" w:rsidR="00F3725B" w:rsidRPr="0003579B" w:rsidRDefault="00F3725B" w:rsidP="003C58C0">
      <w:pPr>
        <w:pStyle w:val="Heading3"/>
        <w:spacing w:line="360" w:lineRule="auto"/>
      </w:pPr>
      <w:bookmarkStart w:id="17" w:name="_Toc147242370"/>
      <w:r w:rsidRPr="0003579B">
        <w:t xml:space="preserve">4.3 European </w:t>
      </w:r>
      <w:r w:rsidR="005E3231" w:rsidRPr="0003579B">
        <w:t>G</w:t>
      </w:r>
      <w:r w:rsidRPr="0003579B">
        <w:t xml:space="preserve">reen </w:t>
      </w:r>
      <w:r w:rsidR="005B6080" w:rsidRPr="0003579B">
        <w:t xml:space="preserve">Deal </w:t>
      </w:r>
      <w:r w:rsidRPr="0003579B">
        <w:t>and other EU initiatives</w:t>
      </w:r>
      <w:bookmarkEnd w:id="17"/>
    </w:p>
    <w:p w14:paraId="2DCBCD2E" w14:textId="6010FA54" w:rsidR="00F77B1D" w:rsidRPr="000E5956" w:rsidRDefault="00F77B1D" w:rsidP="003C58C0">
      <w:pPr>
        <w:spacing w:line="360" w:lineRule="auto"/>
        <w:rPr>
          <w:rFonts w:eastAsia="Open Sans" w:cs="Open Sans"/>
          <w:szCs w:val="24"/>
        </w:rPr>
      </w:pPr>
      <w:r w:rsidRPr="000E5956">
        <w:rPr>
          <w:rFonts w:eastAsia="Open Sans" w:cs="Open Sans"/>
          <w:szCs w:val="24"/>
        </w:rPr>
        <w:t xml:space="preserve">The European Green Deal is mentioned in the </w:t>
      </w:r>
      <w:hyperlink r:id="rId17" w:history="1">
        <w:r w:rsidR="004A0DA4" w:rsidRPr="000E5956">
          <w:rPr>
            <w:rFonts w:ascii="Open Sans ExtraBold" w:eastAsia="Open Sans" w:cs="Open Sans"/>
            <w:b/>
            <w:color w:val="003399"/>
            <w:spacing w:val="-2"/>
            <w:szCs w:val="28"/>
          </w:rPr>
          <w:t>Programme document</w:t>
        </w:r>
      </w:hyperlink>
      <w:r w:rsidRPr="000E5956">
        <w:rPr>
          <w:rFonts w:eastAsia="Open Sans" w:cs="Open Sans"/>
          <w:szCs w:val="24"/>
        </w:rPr>
        <w:t>. The EU committed to achieve climate neutrality by 2050, especially by actions focused on: investing in environmental</w:t>
      </w:r>
      <w:r w:rsidR="00F86F15" w:rsidRPr="000E5956">
        <w:rPr>
          <w:rFonts w:eastAsia="Open Sans" w:cs="Open Sans"/>
          <w:szCs w:val="24"/>
        </w:rPr>
        <w:t xml:space="preserve">ly </w:t>
      </w:r>
      <w:r w:rsidRPr="000E5956">
        <w:rPr>
          <w:rFonts w:eastAsia="Open Sans" w:cs="Open Sans"/>
          <w:szCs w:val="24"/>
        </w:rPr>
        <w:t>friendly technologies, supporting innovations in industries, more sustainable public transport, decarboni</w:t>
      </w:r>
      <w:r w:rsidR="004C3F0F" w:rsidRPr="000E5956">
        <w:rPr>
          <w:rFonts w:eastAsia="Open Sans" w:cs="Open Sans"/>
          <w:szCs w:val="24"/>
        </w:rPr>
        <w:t>s</w:t>
      </w:r>
      <w:r w:rsidRPr="000E5956">
        <w:rPr>
          <w:rFonts w:eastAsia="Open Sans" w:cs="Open Sans"/>
          <w:szCs w:val="24"/>
        </w:rPr>
        <w:t xml:space="preserve">ing the energy sector, energy efficiency and working with international partners to improve global environmental standards. The chosen Programme measures have </w:t>
      </w:r>
      <w:r w:rsidR="00F86F15" w:rsidRPr="000E5956">
        <w:rPr>
          <w:rFonts w:eastAsia="Open Sans" w:cs="Open Sans"/>
          <w:szCs w:val="24"/>
        </w:rPr>
        <w:t xml:space="preserve">a robust </w:t>
      </w:r>
      <w:r w:rsidRPr="000E5956">
        <w:rPr>
          <w:rFonts w:eastAsia="Open Sans" w:cs="Open Sans"/>
          <w:szCs w:val="24"/>
        </w:rPr>
        <w:t>contribution to achieving the goals of the European Green Deal, mainly measures 1.1., 2.1, 2.2, 2.3 and 3.1.</w:t>
      </w:r>
    </w:p>
    <w:p w14:paraId="468318E6" w14:textId="1D05AD5D" w:rsidR="00955C21" w:rsidRPr="004A0DA4" w:rsidRDefault="00F77B1D" w:rsidP="003C58C0">
      <w:pPr>
        <w:spacing w:line="360" w:lineRule="auto"/>
      </w:pPr>
      <w:r w:rsidRPr="004A0DA4">
        <w:t xml:space="preserve">The applicants are encouraged to provide </w:t>
      </w:r>
      <w:r w:rsidR="00F86F15" w:rsidRPr="004A0DA4">
        <w:t xml:space="preserve">a </w:t>
      </w:r>
      <w:r w:rsidRPr="004A0DA4">
        <w:t xml:space="preserve">general reference to the EU Green Deal. </w:t>
      </w:r>
      <w:r w:rsidR="00F86F15" w:rsidRPr="004A0DA4">
        <w:t>A</w:t>
      </w:r>
      <w:r w:rsidRPr="004A0DA4">
        <w:t xml:space="preserve">pplicants may </w:t>
      </w:r>
      <w:r w:rsidR="00F86F15" w:rsidRPr="004A0DA4">
        <w:t xml:space="preserve">also </w:t>
      </w:r>
      <w:r w:rsidRPr="004A0DA4">
        <w:t xml:space="preserve">refer to other EU initiatives e.g., related to digitalisation, health, REPowerEU and others. However, there is no such obligation. For example, the project may contribute to the Commission’s initiative called </w:t>
      </w:r>
      <w:r w:rsidR="00F02972" w:rsidRPr="004A0DA4">
        <w:t>‘</w:t>
      </w:r>
      <w:r w:rsidRPr="004A0DA4">
        <w:t>A New European Bauhaus</w:t>
      </w:r>
      <w:r w:rsidR="00F02972" w:rsidRPr="004A0DA4">
        <w:t>’</w:t>
      </w:r>
      <w:r w:rsidRPr="004A0DA4">
        <w:t xml:space="preserve"> but as a rule, the </w:t>
      </w:r>
      <w:r w:rsidR="005E3231" w:rsidRPr="004A0DA4">
        <w:t>P</w:t>
      </w:r>
      <w:r w:rsidRPr="004A0DA4">
        <w:t xml:space="preserve">rogramme actions </w:t>
      </w:r>
      <w:r w:rsidR="005E3231" w:rsidRPr="004A0DA4">
        <w:t>were not</w:t>
      </w:r>
      <w:r w:rsidRPr="004A0DA4">
        <w:t xml:space="preserve"> planned in the context of this initiative. </w:t>
      </w:r>
    </w:p>
    <w:p w14:paraId="5622124D" w14:textId="4FD23FEB" w:rsidR="00980876" w:rsidRPr="0003579B" w:rsidRDefault="00980876" w:rsidP="003C58C0">
      <w:pPr>
        <w:pStyle w:val="Heading3"/>
        <w:spacing w:line="360" w:lineRule="auto"/>
      </w:pPr>
      <w:bookmarkStart w:id="18" w:name="_Toc147242371"/>
      <w:r w:rsidRPr="0003579B">
        <w:lastRenderedPageBreak/>
        <w:t>4.4 Horizontal principles for the Interreg Programmes</w:t>
      </w:r>
      <w:bookmarkEnd w:id="18"/>
    </w:p>
    <w:p w14:paraId="1808A0DD" w14:textId="4E0C56BD" w:rsidR="00A821EB" w:rsidRPr="004A0DA4" w:rsidRDefault="00980876" w:rsidP="003C58C0">
      <w:pPr>
        <w:spacing w:line="360" w:lineRule="auto"/>
      </w:pPr>
      <w:r w:rsidRPr="004A0DA4">
        <w:t>Regardless</w:t>
      </w:r>
      <w:r w:rsidR="00CD5C9A" w:rsidRPr="004A0DA4">
        <w:t xml:space="preserve"> of the selected</w:t>
      </w:r>
      <w:r w:rsidRPr="004A0DA4">
        <w:t xml:space="preserve"> Priority and </w:t>
      </w:r>
      <w:r w:rsidR="00CD5C9A" w:rsidRPr="004A0DA4">
        <w:t xml:space="preserve">the </w:t>
      </w:r>
      <w:r w:rsidRPr="004A0DA4">
        <w:t>relevant Measure, each project application should consider the horizontal principles for the Interreg programmes. The principles of equal opportunities and non-discrimination, as well as accessibility</w:t>
      </w:r>
      <w:r w:rsidR="00F86F15" w:rsidRPr="004A0DA4">
        <w:t>,</w:t>
      </w:r>
      <w:r w:rsidRPr="004A0DA4">
        <w:t xml:space="preserve"> including for persons with disabilities and equality between women and men</w:t>
      </w:r>
      <w:r w:rsidR="00F86F15" w:rsidRPr="004A0DA4">
        <w:t>,</w:t>
      </w:r>
      <w:r w:rsidRPr="004A0DA4">
        <w:t xml:space="preserve"> shall be of particular importance during project preparation and implementation. </w:t>
      </w:r>
    </w:p>
    <w:p w14:paraId="54F74E97" w14:textId="77777777" w:rsidR="00224E33" w:rsidRPr="004A0DA4" w:rsidRDefault="006446C6" w:rsidP="003C58C0">
      <w:pPr>
        <w:spacing w:line="360" w:lineRule="auto"/>
      </w:pPr>
      <w:r w:rsidRPr="004A0DA4">
        <w:t>Every project approved by the Programme should aim at eliminating inequalities and promoting equality between men and women and integrating the gender perspective, as well as at combating discrimination based on any grounds, such as sex, race, colour, ethnic or social origin, genetic features, language, religion, or belief, political or any other opinion, membership of a national minority, property, birth, disability, age</w:t>
      </w:r>
      <w:r w:rsidR="00BF2817" w:rsidRPr="004A0DA4">
        <w:t>,</w:t>
      </w:r>
      <w:r w:rsidRPr="004A0DA4">
        <w:t xml:space="preserve"> or sexual orientation. </w:t>
      </w:r>
    </w:p>
    <w:p w14:paraId="35F6D70B" w14:textId="1F6211E6" w:rsidR="00CF739A" w:rsidRDefault="00BF2817" w:rsidP="003C58C0">
      <w:pPr>
        <w:spacing w:line="360" w:lineRule="auto"/>
      </w:pPr>
      <w:r w:rsidRPr="004A0DA4">
        <w:t>The p</w:t>
      </w:r>
      <w:r w:rsidR="006446C6" w:rsidRPr="004A0DA4">
        <w:t xml:space="preserve">roject </w:t>
      </w:r>
      <w:r w:rsidRPr="004A0DA4">
        <w:t>p</w:t>
      </w:r>
      <w:r w:rsidR="006446C6" w:rsidRPr="004A0DA4">
        <w:t xml:space="preserve">artners representing municipalities that have taken discriminatory measures are excluded from the funding and will not be approved. </w:t>
      </w:r>
    </w:p>
    <w:p w14:paraId="1E0A4081" w14:textId="1A05EB43" w:rsidR="006446C6" w:rsidRPr="004A0DA4" w:rsidRDefault="006446C6" w:rsidP="003C58C0">
      <w:pPr>
        <w:spacing w:line="360" w:lineRule="auto"/>
      </w:pPr>
      <w:r w:rsidRPr="004A0DA4">
        <w:t xml:space="preserve">In the case of Polish </w:t>
      </w:r>
      <w:r w:rsidR="00BF2817" w:rsidRPr="004A0DA4">
        <w:t>p</w:t>
      </w:r>
      <w:r w:rsidRPr="004A0DA4">
        <w:t xml:space="preserve">roject </w:t>
      </w:r>
      <w:r w:rsidR="00BF2817" w:rsidRPr="004A0DA4">
        <w:t>p</w:t>
      </w:r>
      <w:r w:rsidRPr="004A0DA4">
        <w:t>artners, a statement on the absence of discriminatory resolutions will be required from self-government units and their subordinate units and entities controlled by or dependent on them</w:t>
      </w:r>
      <w:r w:rsidR="008D4534">
        <w:rPr>
          <w:rStyle w:val="FootnoteReference"/>
          <w:rFonts w:eastAsia="Open Sans" w:cs="Open Sans"/>
          <w:sz w:val="20"/>
          <w:szCs w:val="20"/>
        </w:rPr>
        <w:footnoteReference w:id="1"/>
      </w:r>
      <w:r w:rsidR="008D4534" w:rsidRPr="004A0DA4">
        <w:t xml:space="preserve"> </w:t>
      </w:r>
      <w:r w:rsidR="00BF2817" w:rsidRPr="004A0DA4">
        <w:t>(please see Chapter V, Section 4, sub-section 4.2. Submission of the Application).</w:t>
      </w:r>
    </w:p>
    <w:p w14:paraId="20813C92" w14:textId="71D4D021" w:rsidR="00980876" w:rsidRPr="000E5956" w:rsidRDefault="00F86F15" w:rsidP="003C58C0">
      <w:pPr>
        <w:spacing w:beforeLines="60" w:before="144" w:after="60" w:line="360" w:lineRule="auto"/>
        <w:ind w:right="-6"/>
        <w:jc w:val="both"/>
        <w:rPr>
          <w:rFonts w:ascii="Open Sans SemiBold" w:eastAsia="Open Sans SemiBold" w:hAnsi="Open Sans SemiBold" w:cs="Open Sans SemiBold"/>
          <w:bCs/>
          <w:color w:val="003399"/>
          <w:szCs w:val="24"/>
        </w:rPr>
      </w:pPr>
      <w:r w:rsidRPr="000E5956">
        <w:rPr>
          <w:rFonts w:ascii="Open Sans SemiBold" w:eastAsia="Open Sans SemiBold" w:hAnsi="Open Sans SemiBold" w:cs="Open Sans SemiBold"/>
          <w:bCs/>
          <w:color w:val="003399"/>
          <w:szCs w:val="24"/>
        </w:rPr>
        <w:t>P</w:t>
      </w:r>
      <w:r w:rsidR="00980876" w:rsidRPr="000E5956">
        <w:rPr>
          <w:rFonts w:ascii="Open Sans SemiBold" w:eastAsia="Open Sans SemiBold" w:hAnsi="Open Sans SemiBold" w:cs="Open Sans SemiBold"/>
          <w:bCs/>
          <w:color w:val="003399"/>
          <w:szCs w:val="24"/>
        </w:rPr>
        <w:t>rinciple of equal opportunities and non-discrimination, including accessibility for persons with disabilities</w:t>
      </w:r>
    </w:p>
    <w:p w14:paraId="73E9ACCA" w14:textId="0F659469" w:rsidR="00980876" w:rsidRPr="004A0DA4" w:rsidRDefault="00980876" w:rsidP="003C58C0">
      <w:pPr>
        <w:spacing w:line="360" w:lineRule="auto"/>
      </w:pPr>
      <w:r w:rsidRPr="004A0DA4">
        <w:lastRenderedPageBreak/>
        <w:t xml:space="preserve">The principle of equal opportunities and non-discrimination, including accessibility for persons with disabilities, implies that all persons, irrespective of sex, race, racial, </w:t>
      </w:r>
      <w:r w:rsidR="00A32AD5" w:rsidRPr="004A0DA4">
        <w:t>ethnic,</w:t>
      </w:r>
      <w:r w:rsidRPr="004A0DA4">
        <w:t xml:space="preserve"> or social origin, genetic features, language, religion or belief, political views or any other views, membership of a national minority, property, birth, d</w:t>
      </w:r>
      <w:r w:rsidRPr="00356E47">
        <w:t>isability, age</w:t>
      </w:r>
      <w:r w:rsidR="00C262D1" w:rsidRPr="00356E47">
        <w:t>,</w:t>
      </w:r>
      <w:r w:rsidRPr="00356E47">
        <w:t xml:space="preserve"> or sexual orientation, should be able to fairly and fully participate in all areas of life on equal terms.</w:t>
      </w:r>
      <w:r w:rsidR="008D4534" w:rsidRPr="00356E47">
        <w:rPr>
          <w:rStyle w:val="FootnoteReference"/>
          <w:rFonts w:eastAsia="Open Sans" w:cs="Open Sans"/>
          <w:sz w:val="20"/>
          <w:szCs w:val="20"/>
        </w:rPr>
        <w:footnoteReference w:id="2"/>
      </w:r>
    </w:p>
    <w:p w14:paraId="6696B359" w14:textId="13EAD375" w:rsidR="00980876" w:rsidRPr="004A0DA4" w:rsidRDefault="00980876" w:rsidP="003C58C0">
      <w:pPr>
        <w:spacing w:line="360" w:lineRule="auto"/>
      </w:pPr>
      <w:r w:rsidRPr="004A0DA4">
        <w:t>The obligations to ensure equal opportunities and non-discrimination, including accessibility for persons with disabilities, in the programmes co-financed from European funds are laid down in the Common Provisions Regulation</w:t>
      </w:r>
      <w:r w:rsidR="008D4534">
        <w:rPr>
          <w:rStyle w:val="FootnoteReference"/>
          <w:rFonts w:eastAsia="Open Sans" w:cs="Open Sans"/>
          <w:sz w:val="20"/>
          <w:szCs w:val="20"/>
        </w:rPr>
        <w:footnoteReference w:id="3"/>
      </w:r>
      <w:r w:rsidRPr="004A0DA4">
        <w:t xml:space="preserve"> and in the Interreg Regulation.</w:t>
      </w:r>
      <w:r w:rsidR="008D4534">
        <w:rPr>
          <w:rStyle w:val="FootnoteReference"/>
          <w:rFonts w:eastAsia="Open Sans" w:cs="Open Sans"/>
          <w:sz w:val="20"/>
          <w:szCs w:val="20"/>
        </w:rPr>
        <w:footnoteReference w:id="4"/>
      </w:r>
      <w:r w:rsidRPr="004A0DA4">
        <w:t xml:space="preserve"> The Regulations oblige the Member States to take action to prevent any forms of discrimination by developing and implementing programmes. </w:t>
      </w:r>
    </w:p>
    <w:p w14:paraId="4D65E58F" w14:textId="0DC484D3" w:rsidR="00A32AD5" w:rsidRPr="004A0DA4" w:rsidRDefault="00980876" w:rsidP="003C58C0">
      <w:pPr>
        <w:spacing w:line="360" w:lineRule="auto"/>
      </w:pPr>
      <w:r w:rsidRPr="004A0DA4">
        <w:t>The funds should not be spent to support actions that favour any form of segregation or exclusion, while for the financing of pilot actions</w:t>
      </w:r>
      <w:r w:rsidR="009D65E0" w:rsidRPr="004A0DA4">
        <w:t>,</w:t>
      </w:r>
      <w:r w:rsidRPr="004A0DA4">
        <w:t xml:space="preserve"> they should guarantee accessibility for persons with disabilities (if relevant). This concerns both the project participants, recipients of project actions and products, as well as the staff and external service providers </w:t>
      </w:r>
      <w:r w:rsidR="009D65E0" w:rsidRPr="004A0DA4">
        <w:t xml:space="preserve">involved in </w:t>
      </w:r>
      <w:r w:rsidRPr="004A0DA4">
        <w:t>the project (e.g., public procurement). Caring for equal opportunities involves</w:t>
      </w:r>
      <w:r w:rsidR="009D65E0" w:rsidRPr="004A0DA4">
        <w:t>,</w:t>
      </w:r>
      <w:r w:rsidRPr="004A0DA4">
        <w:t xml:space="preserve"> above all</w:t>
      </w:r>
      <w:r w:rsidR="009D65E0" w:rsidRPr="004A0DA4">
        <w:t>,</w:t>
      </w:r>
      <w:r w:rsidRPr="004A0DA4">
        <w:t xml:space="preserve"> active actions and planning of solutions that contribute to the reduction of barriers faced by different social groups in terms of free access to goods, services, information, and infrastructure.</w:t>
      </w:r>
    </w:p>
    <w:p w14:paraId="71B3416C" w14:textId="44D70BDC" w:rsidR="00C001F0" w:rsidRPr="004A0DA4" w:rsidRDefault="00980876" w:rsidP="003C58C0">
      <w:pPr>
        <w:spacing w:line="360" w:lineRule="auto"/>
      </w:pPr>
      <w:r w:rsidRPr="004A0DA4">
        <w:t xml:space="preserve">The project partners are obliged to include the needs of persons with disabilities in the logic of the project intervention and to consider the needs of these persons </w:t>
      </w:r>
      <w:r w:rsidRPr="004A0DA4">
        <w:lastRenderedPageBreak/>
        <w:t>at each stage of the project implementation. It is necessary to analyse the needs and barriers of persons with disabilities in the field of the project implementation and project theme, to plan actions accessible to all interested parties (including horizontal actions such as project promotion, project management, etc.), to develop products that comply with the principle of universal design and/or are accessible to people with disabilities.</w:t>
      </w:r>
    </w:p>
    <w:p w14:paraId="37C37574" w14:textId="019399FD" w:rsidR="00980876" w:rsidRPr="004A0DA4" w:rsidRDefault="00980876" w:rsidP="003C58C0">
      <w:pPr>
        <w:spacing w:line="360" w:lineRule="auto"/>
      </w:pPr>
      <w:r w:rsidRPr="004A0DA4">
        <w:t xml:space="preserve">When </w:t>
      </w:r>
      <w:r w:rsidRPr="00B559D2">
        <w:rPr>
          <w:rFonts w:ascii="Open Sans SemiBold" w:eastAsia="Open Sans SemiBold" w:hAnsi="Open Sans SemiBold" w:cs="Open Sans SemiBold"/>
          <w:bCs/>
          <w:color w:val="003399"/>
        </w:rPr>
        <w:t>forming the project proposal</w:t>
      </w:r>
      <w:r w:rsidRPr="004A0DA4">
        <w:t>, applicants are recommended to consider the following issues and to:</w:t>
      </w:r>
    </w:p>
    <w:p w14:paraId="607DC17A" w14:textId="287CF7EA" w:rsidR="00980876" w:rsidRPr="004A0DA4" w:rsidRDefault="00980876" w:rsidP="003C58C0">
      <w:pPr>
        <w:pStyle w:val="ListParagraph"/>
        <w:numPr>
          <w:ilvl w:val="0"/>
          <w:numId w:val="10"/>
        </w:numPr>
        <w:spacing w:line="360" w:lineRule="auto"/>
      </w:pPr>
      <w:r w:rsidRPr="004A0DA4">
        <w:t xml:space="preserve">Analyse the barriers and needs of persons with disabilities </w:t>
      </w:r>
      <w:r w:rsidR="009D65E0" w:rsidRPr="004A0DA4">
        <w:t xml:space="preserve">and </w:t>
      </w:r>
      <w:r w:rsidRPr="004A0DA4">
        <w:t>other groups that are particularly exposed to discrimination in terms of the subject matter and scope of the project.</w:t>
      </w:r>
    </w:p>
    <w:p w14:paraId="53744A19" w14:textId="24CFB1B2" w:rsidR="00980876" w:rsidRPr="004A0DA4" w:rsidRDefault="00980876" w:rsidP="003C58C0">
      <w:pPr>
        <w:spacing w:line="360" w:lineRule="auto"/>
      </w:pPr>
      <w:r w:rsidRPr="004A0DA4">
        <w:t>It should be assumed that the target groups and project stakeholders (e.g., those taking part in trainings, workshops, concerts, patients) or those benefiting from the project effects (a new digital service, a newly opened exhibition) may include people with disabilities. For this reason, applicants should identify whether and, if so, to what extent the problem that will be mitigated or resolved by the implementation of the project concerns persons with disabilities</w:t>
      </w:r>
      <w:r w:rsidR="005763CF" w:rsidRPr="004A0DA4">
        <w:t>,</w:t>
      </w:r>
      <w:r w:rsidRPr="004A0DA4">
        <w:t xml:space="preserve"> and </w:t>
      </w:r>
      <w:r w:rsidR="005763CF" w:rsidRPr="004A0DA4">
        <w:t xml:space="preserve">to </w:t>
      </w:r>
      <w:r w:rsidRPr="004A0DA4">
        <w:t>plan such actions that will make the project and its effects accessible to all end users.</w:t>
      </w:r>
    </w:p>
    <w:p w14:paraId="2F4B86B0" w14:textId="1F5F4095" w:rsidR="00980876" w:rsidRPr="004A0DA4" w:rsidRDefault="00980876" w:rsidP="003C58C0">
      <w:pPr>
        <w:spacing w:line="360" w:lineRule="auto"/>
      </w:pPr>
      <w:r w:rsidRPr="004A0DA4">
        <w:t>When analysing the need to implement a project, applicants should review the situation of persons with disabilities in the context of the project area/theme and identify their needs</w:t>
      </w:r>
      <w:r w:rsidR="005763CF" w:rsidRPr="004A0DA4">
        <w:t>,</w:t>
      </w:r>
      <w:r w:rsidRPr="004A0DA4">
        <w:t xml:space="preserve"> which may vary considerably </w:t>
      </w:r>
      <w:r w:rsidR="00F84819" w:rsidRPr="004A0DA4">
        <w:t>depending on the</w:t>
      </w:r>
      <w:r w:rsidRPr="004A0DA4">
        <w:t xml:space="preserve"> type of disability. </w:t>
      </w:r>
    </w:p>
    <w:p w14:paraId="7F7ACD19" w14:textId="77777777" w:rsidR="00980876" w:rsidRPr="004A0DA4" w:rsidRDefault="00980876" w:rsidP="003C58C0">
      <w:pPr>
        <w:spacing w:line="360" w:lineRule="auto"/>
      </w:pPr>
      <w:r w:rsidRPr="004A0DA4">
        <w:t xml:space="preserve">Different forms of support are required by the following persons: the blind and visually impaired, the deaf and hard-of-hearing, the deaf-blind, persons with mobility disabilities, with intellectual disabilities, with mental disorders or diseases, age-related restrictions, etc. </w:t>
      </w:r>
    </w:p>
    <w:p w14:paraId="251B3D02" w14:textId="77777777" w:rsidR="00980876" w:rsidRPr="004A0DA4" w:rsidRDefault="00980876" w:rsidP="003C58C0">
      <w:pPr>
        <w:spacing w:line="360" w:lineRule="auto"/>
      </w:pPr>
      <w:r w:rsidRPr="004A0DA4">
        <w:lastRenderedPageBreak/>
        <w:t>The analysis of the situation of a group in the context of a project may be based on both quantitative and qualitative data, depending on the subject matter of the project and the availability of data. The applicant should provide the data sources used in the analysis and, if it refers to its own studies, describe their assumptions.</w:t>
      </w:r>
    </w:p>
    <w:p w14:paraId="21003232" w14:textId="23848348" w:rsidR="00980876" w:rsidRPr="004A0DA4" w:rsidRDefault="00980876" w:rsidP="003C58C0">
      <w:pPr>
        <w:pStyle w:val="ListParagraph"/>
        <w:numPr>
          <w:ilvl w:val="0"/>
          <w:numId w:val="10"/>
        </w:numPr>
        <w:spacing w:line="360" w:lineRule="auto"/>
      </w:pPr>
      <w:r w:rsidRPr="004A0DA4">
        <w:t>Consider the principle of equal opportunities and non-discrimination, including accessibility for persons with disabilities, for the purposes of the project</w:t>
      </w:r>
      <w:r w:rsidR="005763CF" w:rsidRPr="004A0DA4">
        <w:t xml:space="preserve">, </w:t>
      </w:r>
      <w:r w:rsidRPr="004A0DA4">
        <w:t>if applicable:</w:t>
      </w:r>
    </w:p>
    <w:p w14:paraId="1F92720C" w14:textId="2DAD3454" w:rsidR="00980876" w:rsidRPr="004A0DA4" w:rsidRDefault="00980876" w:rsidP="003C58C0">
      <w:pPr>
        <w:pStyle w:val="ListParagraph"/>
        <w:numPr>
          <w:ilvl w:val="0"/>
          <w:numId w:val="11"/>
        </w:numPr>
        <w:spacing w:line="360" w:lineRule="auto"/>
      </w:pPr>
      <w:r w:rsidRPr="004A0DA4">
        <w:t xml:space="preserve">the support for persons with disabilities is an important element </w:t>
      </w:r>
      <w:r w:rsidR="005763CF" w:rsidRPr="004A0DA4">
        <w:t xml:space="preserve">in </w:t>
      </w:r>
      <w:r w:rsidRPr="004A0DA4">
        <w:t xml:space="preserve">justifying the implementation of a project (e.g., developing </w:t>
      </w:r>
      <w:r w:rsidR="005763CF" w:rsidRPr="004A0DA4">
        <w:t xml:space="preserve">an </w:t>
      </w:r>
      <w:r w:rsidRPr="004A0DA4">
        <w:t>IT solution for persons with poor eyesight),</w:t>
      </w:r>
    </w:p>
    <w:p w14:paraId="502DED95" w14:textId="77777777" w:rsidR="00980876" w:rsidRPr="004A0DA4" w:rsidRDefault="00980876" w:rsidP="003C58C0">
      <w:pPr>
        <w:pStyle w:val="ListParagraph"/>
        <w:spacing w:line="360" w:lineRule="auto"/>
      </w:pPr>
      <w:r w:rsidRPr="004A0DA4">
        <w:t>or</w:t>
      </w:r>
    </w:p>
    <w:p w14:paraId="0D0041F3" w14:textId="4EC10355" w:rsidR="00980876" w:rsidRPr="004A0DA4" w:rsidRDefault="00980876" w:rsidP="003C58C0">
      <w:pPr>
        <w:pStyle w:val="ListParagraph"/>
        <w:numPr>
          <w:ilvl w:val="0"/>
          <w:numId w:val="11"/>
        </w:numPr>
        <w:spacing w:line="360" w:lineRule="auto"/>
      </w:pPr>
      <w:r w:rsidRPr="004A0DA4">
        <w:t>the project implementation may contribute to improving the situation of persons with disabilities in the area of the project implementation and project theme (e.g., conducting trainings for persons with hearing impairment</w:t>
      </w:r>
      <w:r w:rsidR="005763CF" w:rsidRPr="004A0DA4">
        <w:t xml:space="preserve">); </w:t>
      </w:r>
      <w:r w:rsidRPr="004A0DA4">
        <w:t>it is then necessary to consider focusing the project on supporting persons with disabilities in the project objectives.</w:t>
      </w:r>
    </w:p>
    <w:p w14:paraId="661E8ABA" w14:textId="395B1548" w:rsidR="00980876" w:rsidRPr="004A0DA4" w:rsidRDefault="00980876" w:rsidP="003C58C0">
      <w:pPr>
        <w:pStyle w:val="ListParagraph"/>
        <w:numPr>
          <w:ilvl w:val="0"/>
          <w:numId w:val="10"/>
        </w:numPr>
        <w:spacing w:line="360" w:lineRule="auto"/>
      </w:pPr>
      <w:r w:rsidRPr="004A0DA4">
        <w:t xml:space="preserve">Ensure that project actions are accessible to all interested parties regardless of sex, race, racial, </w:t>
      </w:r>
      <w:r w:rsidR="00017E4E" w:rsidRPr="004A0DA4">
        <w:t>ethnic,</w:t>
      </w:r>
      <w:r w:rsidRPr="004A0DA4">
        <w:t xml:space="preserve"> or social origin, genetic features, language, religion or belief, political or any other views, membership of a national minority, property, birth, disability, age or sexual orientation, with particular focus placed on the needs of persons with disabilities. </w:t>
      </w:r>
    </w:p>
    <w:p w14:paraId="2E0BA6EB" w14:textId="163645DD" w:rsidR="00980876" w:rsidRPr="004A0DA4" w:rsidRDefault="00980876" w:rsidP="003C58C0">
      <w:pPr>
        <w:spacing w:line="360" w:lineRule="auto"/>
      </w:pPr>
      <w:r w:rsidRPr="004A0DA4">
        <w:t>The actions planned in a project should be accessible to all interested parties regardless of the type and degree of disability. When designing actions, the applicant should, among others:</w:t>
      </w:r>
    </w:p>
    <w:p w14:paraId="100F60DD" w14:textId="4D4ED9FA" w:rsidR="00980876" w:rsidRPr="004A0DA4" w:rsidRDefault="00980876" w:rsidP="003C58C0">
      <w:pPr>
        <w:pStyle w:val="ListParagraph"/>
        <w:numPr>
          <w:ilvl w:val="0"/>
          <w:numId w:val="68"/>
        </w:numPr>
        <w:spacing w:line="360" w:lineRule="auto"/>
      </w:pPr>
      <w:r w:rsidRPr="004A0DA4">
        <w:lastRenderedPageBreak/>
        <w:t xml:space="preserve">provide access to project and recruitment information to all interested parties (e.g., project information on a website compliant with the WCAG 2.1 </w:t>
      </w:r>
      <w:r w:rsidR="00C571AF" w:rsidRPr="004A0DA4">
        <w:t>standard, or</w:t>
      </w:r>
      <w:r w:rsidR="000B0464" w:rsidRPr="004A0DA4">
        <w:t xml:space="preserve"> later</w:t>
      </w:r>
      <w:r w:rsidR="00414B26" w:rsidRPr="004A0DA4">
        <w:t xml:space="preserve">, </w:t>
      </w:r>
      <w:r w:rsidRPr="004A0DA4">
        <w:t>information on the project provided to local/regional non-governmental organi</w:t>
      </w:r>
      <w:r w:rsidR="004C3F0F" w:rsidRPr="004A0DA4">
        <w:t>s</w:t>
      </w:r>
      <w:r w:rsidRPr="004A0DA4">
        <w:t xml:space="preserve">ations supporting persons with disabilities, accessible information materials, a recruitment process with at least two application channels: electronically and in person or by post/telephone), </w:t>
      </w:r>
    </w:p>
    <w:p w14:paraId="3903A972" w14:textId="2343A119" w:rsidR="00980876" w:rsidRPr="00B559D2" w:rsidRDefault="00980876" w:rsidP="003C58C0">
      <w:pPr>
        <w:pStyle w:val="ListParagraph"/>
        <w:numPr>
          <w:ilvl w:val="0"/>
          <w:numId w:val="68"/>
        </w:numPr>
        <w:spacing w:line="360" w:lineRule="auto"/>
      </w:pPr>
      <w:r w:rsidRPr="00B559D2">
        <w:t xml:space="preserve">differentiate the manner of providing support and adapt it to the individual needs and capabilities of </w:t>
      </w:r>
      <w:r w:rsidR="005763CF" w:rsidRPr="00B559D2">
        <w:t xml:space="preserve">the </w:t>
      </w:r>
      <w:r w:rsidRPr="00B559D2">
        <w:t>individual project participants (e.g., the materials for visually impaired persons should be printed in a larger font; a sign language interpreter or assistant of a person with a disability should be provided),</w:t>
      </w:r>
    </w:p>
    <w:p w14:paraId="5C8845DE" w14:textId="77777777" w:rsidR="00980876" w:rsidRPr="00B559D2" w:rsidRDefault="00980876" w:rsidP="003C58C0">
      <w:pPr>
        <w:pStyle w:val="ListParagraph"/>
        <w:numPr>
          <w:ilvl w:val="0"/>
          <w:numId w:val="68"/>
        </w:numPr>
        <w:spacing w:line="360" w:lineRule="auto"/>
      </w:pPr>
      <w:r w:rsidRPr="00B559D2">
        <w:t>break down stereotypes and causes of segregation in different spheres of life (e.g., including the image of persons with disabilities in media messages),</w:t>
      </w:r>
    </w:p>
    <w:p w14:paraId="72ED2C1D" w14:textId="45228DCA" w:rsidR="00980876" w:rsidRPr="00B559D2" w:rsidRDefault="00980876" w:rsidP="003C58C0">
      <w:pPr>
        <w:pStyle w:val="ListParagraph"/>
        <w:numPr>
          <w:ilvl w:val="0"/>
          <w:numId w:val="68"/>
        </w:numPr>
        <w:spacing w:line="360" w:lineRule="auto"/>
      </w:pPr>
      <w:r w:rsidRPr="00B559D2">
        <w:t xml:space="preserve">ensure that the project management is compliant with the equality principles (e.g., the recruitment process for a project position should be accessible to all interested parties </w:t>
      </w:r>
      <w:r w:rsidRPr="00B559D2">
        <w:sym w:font="Symbol" w:char="F02D"/>
      </w:r>
      <w:r w:rsidRPr="00B559D2">
        <w:t xml:space="preserve"> the place or manner of delivering </w:t>
      </w:r>
      <w:r w:rsidR="005763CF" w:rsidRPr="00B559D2">
        <w:t xml:space="preserve">the </w:t>
      </w:r>
      <w:r w:rsidRPr="00B559D2">
        <w:t xml:space="preserve">work should be adapted to the needs of persons with disabilities, </w:t>
      </w:r>
      <w:r w:rsidR="005763CF" w:rsidRPr="00B559D2">
        <w:t xml:space="preserve">and </w:t>
      </w:r>
      <w:r w:rsidRPr="00B559D2">
        <w:t xml:space="preserve">social clauses </w:t>
      </w:r>
      <w:r w:rsidR="005763CF" w:rsidRPr="00B559D2">
        <w:t xml:space="preserve">should be included </w:t>
      </w:r>
      <w:r w:rsidRPr="00B559D2">
        <w:t>in public procurement).</w:t>
      </w:r>
    </w:p>
    <w:p w14:paraId="0FC245E8" w14:textId="6B70294B" w:rsidR="00980876" w:rsidRPr="00B559D2" w:rsidRDefault="005763CF" w:rsidP="003C58C0">
      <w:pPr>
        <w:pStyle w:val="ListParagraph"/>
        <w:numPr>
          <w:ilvl w:val="0"/>
          <w:numId w:val="10"/>
        </w:numPr>
        <w:spacing w:line="360" w:lineRule="auto"/>
      </w:pPr>
      <w:r w:rsidRPr="00B559D2">
        <w:t>E</w:t>
      </w:r>
      <w:r w:rsidR="00980876" w:rsidRPr="00B559D2">
        <w:t>nsure that products comply with the principle of universal design or are accessible to persons with disabilities.</w:t>
      </w:r>
    </w:p>
    <w:p w14:paraId="2B008204" w14:textId="7145CF8A" w:rsidR="00980876" w:rsidRPr="00B559D2" w:rsidRDefault="00980876" w:rsidP="003C58C0">
      <w:pPr>
        <w:spacing w:line="360" w:lineRule="auto"/>
      </w:pPr>
      <w:r w:rsidRPr="00B559D2">
        <w:t>The project products must be accessible, which means</w:t>
      </w:r>
      <w:r w:rsidR="00244C4B" w:rsidRPr="00B559D2">
        <w:t xml:space="preserve"> that they</w:t>
      </w:r>
      <w:r w:rsidRPr="00B559D2">
        <w:t xml:space="preserve"> </w:t>
      </w:r>
      <w:r w:rsidR="00244C4B" w:rsidRPr="00B559D2">
        <w:t xml:space="preserve">comply </w:t>
      </w:r>
      <w:r w:rsidRPr="00B559D2">
        <w:t xml:space="preserve">with the concept of universal design. The products, working environment, programmes and services should be designed in </w:t>
      </w:r>
      <w:r w:rsidR="00244C4B" w:rsidRPr="00B559D2">
        <w:t xml:space="preserve">such </w:t>
      </w:r>
      <w:r w:rsidRPr="00B559D2">
        <w:t xml:space="preserve">a manner that they are useful to everybody as far as possible, without the need to adapt them or prepare a </w:t>
      </w:r>
      <w:r w:rsidRPr="00B559D2">
        <w:lastRenderedPageBreak/>
        <w:t>specialist design</w:t>
      </w:r>
      <w:r w:rsidR="00356E47">
        <w:t>.</w:t>
      </w:r>
      <w:r w:rsidR="00356E47">
        <w:rPr>
          <w:rStyle w:val="FootnoteReference"/>
          <w:rFonts w:eastAsia="Open Sans" w:cs="Open Sans"/>
          <w:sz w:val="20"/>
          <w:szCs w:val="20"/>
        </w:rPr>
        <w:footnoteReference w:id="5"/>
      </w:r>
      <w:r w:rsidRPr="00B559D2">
        <w:t xml:space="preserve"> One of the overriding objectives of universal design is to promote equality and to ensure that persons with disabilities </w:t>
      </w:r>
      <w:r w:rsidR="00244C4B" w:rsidRPr="00B559D2">
        <w:t xml:space="preserve">are able to </w:t>
      </w:r>
      <w:r w:rsidRPr="00B559D2">
        <w:t>fully participate in social life by removing the existing barriers and preventing the emergence of new ones.</w:t>
      </w:r>
    </w:p>
    <w:p w14:paraId="4D8897CA" w14:textId="7641C72F" w:rsidR="00980876" w:rsidRPr="00B559D2" w:rsidRDefault="00980876" w:rsidP="003C58C0">
      <w:pPr>
        <w:spacing w:line="360" w:lineRule="auto"/>
      </w:pPr>
      <w:r w:rsidRPr="00B559D2">
        <w:t xml:space="preserve">During </w:t>
      </w:r>
      <w:r w:rsidRPr="00201BD5">
        <w:rPr>
          <w:rFonts w:ascii="Open Sans SemiBold" w:eastAsia="Open Sans SemiBold" w:hAnsi="Open Sans SemiBold" w:cs="Open Sans SemiBold"/>
          <w:bCs/>
          <w:color w:val="003399"/>
        </w:rPr>
        <w:t>the implementation process</w:t>
      </w:r>
      <w:r w:rsidR="00244C4B" w:rsidRPr="00B559D2">
        <w:t xml:space="preserve">, </w:t>
      </w:r>
      <w:r w:rsidRPr="00B559D2">
        <w:t xml:space="preserve">partners should carry out their actions as described in the Application Form </w:t>
      </w:r>
      <w:r w:rsidR="00244C4B" w:rsidRPr="00B559D2">
        <w:t>and</w:t>
      </w:r>
      <w:r w:rsidRPr="00B559D2">
        <w:t xml:space="preserve"> describe these actions in the progress report by including the aspect of accessibility for persons with disabilities. It should be indicated what was done to ensure access for persons with disabilities and how the actions have mitigated the inequalities</w:t>
      </w:r>
      <w:r w:rsidR="00244C4B" w:rsidRPr="00B559D2">
        <w:t xml:space="preserve"> of disability</w:t>
      </w:r>
      <w:r w:rsidRPr="00B559D2">
        <w:t xml:space="preserve">. </w:t>
      </w:r>
    </w:p>
    <w:p w14:paraId="4A74B9B8" w14:textId="2E1DE496" w:rsidR="0048657C" w:rsidRPr="000E5956" w:rsidRDefault="00244C4B" w:rsidP="003C58C0">
      <w:pPr>
        <w:spacing w:line="360" w:lineRule="auto"/>
        <w:rPr>
          <w:rFonts w:ascii="Open Sans SemiBold" w:eastAsia="Open Sans SemiBold" w:hAnsi="Open Sans SemiBold" w:cs="Open Sans SemiBold"/>
          <w:bCs/>
          <w:color w:val="003399"/>
          <w:szCs w:val="24"/>
        </w:rPr>
      </w:pPr>
      <w:r w:rsidRPr="000E5956">
        <w:rPr>
          <w:rFonts w:ascii="Open Sans SemiBold" w:eastAsia="Open Sans SemiBold" w:hAnsi="Open Sans SemiBold" w:cs="Open Sans SemiBold"/>
          <w:bCs/>
          <w:color w:val="003399"/>
          <w:szCs w:val="24"/>
        </w:rPr>
        <w:t>P</w:t>
      </w:r>
      <w:r w:rsidR="0048657C" w:rsidRPr="000E5956">
        <w:rPr>
          <w:rFonts w:ascii="Open Sans SemiBold" w:eastAsia="Open Sans SemiBold" w:hAnsi="Open Sans SemiBold" w:cs="Open Sans SemiBold"/>
          <w:bCs/>
          <w:color w:val="003399"/>
          <w:szCs w:val="24"/>
        </w:rPr>
        <w:t>rinciple of equality between women and men and integrating the gender perspective</w:t>
      </w:r>
    </w:p>
    <w:p w14:paraId="2D7C754B" w14:textId="4BD72D47" w:rsidR="00980876" w:rsidRPr="00B559D2" w:rsidRDefault="00980876" w:rsidP="003C58C0">
      <w:pPr>
        <w:spacing w:line="360" w:lineRule="auto"/>
      </w:pPr>
      <w:r w:rsidRPr="00B559D2">
        <w:t xml:space="preserve">The principle of equality between women and men is to ensure that women and men are given equal social value, equal rights, and equal obligations, and that they have equal access to the resources they can benefit from (financial resources, development opportunities). This principle guarantees </w:t>
      </w:r>
      <w:r w:rsidR="00D57FBF" w:rsidRPr="00B559D2">
        <w:t xml:space="preserve">the </w:t>
      </w:r>
      <w:r w:rsidRPr="00B559D2">
        <w:t xml:space="preserve">possibility to choose a way of life without restrictions arising from gender stereotypes. Its implementation also involves the consideration of the gender perspective in </w:t>
      </w:r>
      <w:r w:rsidR="00D57FBF" w:rsidRPr="00B559D2">
        <w:t xml:space="preserve">the </w:t>
      </w:r>
      <w:r w:rsidRPr="00B559D2">
        <w:t xml:space="preserve">development, performance, and evaluation of EU-funded programmes. </w:t>
      </w:r>
    </w:p>
    <w:p w14:paraId="1AAC783E" w14:textId="67DC792D" w:rsidR="00980876" w:rsidRPr="00B559D2" w:rsidRDefault="00980876" w:rsidP="003C58C0">
      <w:pPr>
        <w:spacing w:line="360" w:lineRule="auto"/>
      </w:pPr>
      <w:r w:rsidRPr="00B559D2">
        <w:t>The obligations to ensure equality between women and men are embedded in the Common Provisions Regulation</w:t>
      </w:r>
      <w:r w:rsidR="00312982">
        <w:rPr>
          <w:rStyle w:val="FootnoteReference"/>
          <w:rFonts w:eastAsia="Open Sans" w:cs="Open Sans"/>
          <w:sz w:val="20"/>
          <w:szCs w:val="20"/>
        </w:rPr>
        <w:footnoteReference w:id="6"/>
      </w:r>
      <w:r w:rsidR="00312982">
        <w:t xml:space="preserve"> </w:t>
      </w:r>
      <w:r w:rsidRPr="00B559D2">
        <w:t>and in the Interreg Regulation.</w:t>
      </w:r>
      <w:r w:rsidR="00312982">
        <w:rPr>
          <w:rStyle w:val="FootnoteReference"/>
          <w:rFonts w:eastAsia="Open Sans" w:cs="Open Sans"/>
          <w:sz w:val="20"/>
          <w:szCs w:val="20"/>
        </w:rPr>
        <w:footnoteReference w:id="7"/>
      </w:r>
      <w:r w:rsidR="00486D2F" w:rsidRPr="00B559D2">
        <w:t xml:space="preserve"> </w:t>
      </w:r>
      <w:r w:rsidRPr="00B559D2">
        <w:t xml:space="preserve">The programme institutions are required to develop transparent and non-discriminatory procedures and selection criteria for projects that ensure gender equality. </w:t>
      </w:r>
    </w:p>
    <w:p w14:paraId="0724689F" w14:textId="58DB6D70" w:rsidR="00980876" w:rsidRPr="00B559D2" w:rsidRDefault="00980876" w:rsidP="003C58C0">
      <w:pPr>
        <w:spacing w:line="360" w:lineRule="auto"/>
      </w:pPr>
      <w:r w:rsidRPr="00B559D2">
        <w:lastRenderedPageBreak/>
        <w:t>The project partners are obliged to consider the gender perspective at each stage of the project preparation and implementation.</w:t>
      </w:r>
    </w:p>
    <w:p w14:paraId="7527C6D5" w14:textId="5D2C5050" w:rsidR="00980876" w:rsidRPr="00B559D2" w:rsidRDefault="00980876" w:rsidP="003C58C0">
      <w:pPr>
        <w:spacing w:line="360" w:lineRule="auto"/>
      </w:pPr>
      <w:r w:rsidRPr="00B559D2">
        <w:t xml:space="preserve">When </w:t>
      </w:r>
      <w:r w:rsidRPr="00F90ED5">
        <w:rPr>
          <w:rFonts w:ascii="Open Sans SemiBold" w:eastAsia="Open Sans SemiBold" w:hAnsi="Open Sans SemiBold" w:cs="Open Sans SemiBold"/>
          <w:bCs/>
          <w:color w:val="003399"/>
        </w:rPr>
        <w:t>forming the project proposal</w:t>
      </w:r>
      <w:r w:rsidRPr="00B559D2">
        <w:t>, applicants are recommended to consider the following issues and to:</w:t>
      </w:r>
    </w:p>
    <w:p w14:paraId="383AC0D3" w14:textId="52FCCE1A" w:rsidR="00980876" w:rsidRPr="00B559D2" w:rsidRDefault="00980876" w:rsidP="003C58C0">
      <w:pPr>
        <w:pStyle w:val="ListParagraph"/>
        <w:numPr>
          <w:ilvl w:val="0"/>
          <w:numId w:val="19"/>
        </w:numPr>
        <w:spacing w:line="360" w:lineRule="auto"/>
      </w:pPr>
      <w:r w:rsidRPr="00B559D2">
        <w:t>Perform an analysis of the barriers to equality</w:t>
      </w:r>
      <w:r w:rsidR="00312982">
        <w:rPr>
          <w:rStyle w:val="FootnoteReference"/>
          <w:rFonts w:eastAsia="Open Sans" w:cs="Open Sans"/>
          <w:sz w:val="20"/>
          <w:szCs w:val="20"/>
        </w:rPr>
        <w:footnoteReference w:id="8"/>
      </w:r>
      <w:r w:rsidRPr="00B559D2">
        <w:t xml:space="preserve"> in the thematic area of the project and/or from the perspective of the project implementation area</w:t>
      </w:r>
      <w:r w:rsidR="00D57FBF" w:rsidRPr="00B559D2">
        <w:t xml:space="preserve">, </w:t>
      </w:r>
      <w:r w:rsidRPr="00B559D2">
        <w:t>if applicable.</w:t>
      </w:r>
    </w:p>
    <w:p w14:paraId="41043CC3" w14:textId="1458FDBC" w:rsidR="00980876" w:rsidRPr="00B559D2" w:rsidRDefault="00980876" w:rsidP="003C58C0">
      <w:pPr>
        <w:spacing w:line="360" w:lineRule="auto"/>
      </w:pPr>
      <w:r w:rsidRPr="00B559D2">
        <w:t>When analysing the need for the project, the applicants should consider the situation of women and men (potential project participants), indicating whether there are barriers to equality (systemic inequalities and limitations with regard to one sex (mostly women) which are copied and consolidated in social and cultural terms) in the context of the project implementation</w:t>
      </w:r>
      <w:r w:rsidR="00D07B80" w:rsidRPr="00B559D2">
        <w:t>/</w:t>
      </w:r>
      <w:r w:rsidRPr="00B559D2">
        <w:t xml:space="preserve">thematic area. When diagnosing equality barriers, the situation of the women and men involved in the project should be considered. </w:t>
      </w:r>
    </w:p>
    <w:p w14:paraId="5A9BE413" w14:textId="350AD091" w:rsidR="00980876" w:rsidRPr="00B559D2" w:rsidRDefault="00980876" w:rsidP="003C58C0">
      <w:pPr>
        <w:pStyle w:val="ListParagraph"/>
        <w:numPr>
          <w:ilvl w:val="0"/>
          <w:numId w:val="19"/>
        </w:numPr>
        <w:spacing w:line="360" w:lineRule="auto"/>
      </w:pPr>
      <w:r w:rsidRPr="00B559D2">
        <w:t>Plan actions that will address the diagnosed barriers to equality or identify preventive actions i</w:t>
      </w:r>
      <w:r w:rsidR="00D57FBF" w:rsidRPr="00B559D2">
        <w:t>f</w:t>
      </w:r>
      <w:r w:rsidRPr="00B559D2">
        <w:t xml:space="preserve"> no barriers have been diagnosed. </w:t>
      </w:r>
    </w:p>
    <w:p w14:paraId="33B47BD4" w14:textId="77777777" w:rsidR="00C412C8" w:rsidRDefault="00980876" w:rsidP="003C58C0">
      <w:pPr>
        <w:spacing w:line="360" w:lineRule="auto"/>
      </w:pPr>
      <w:r w:rsidRPr="00B559D2">
        <w:t xml:space="preserve">The applicants should indicate what type of actions will be carried out within the project to mitigate the identified barriers to equality. The planned actions should address these barriers. When describing the actions, particular attention should </w:t>
      </w:r>
      <w:r w:rsidRPr="00B559D2">
        <w:lastRenderedPageBreak/>
        <w:t xml:space="preserve">be paid to the project recruitment process and the adaptation of adequate forms of support to the project participants in terms of the diagnosed inequalities. </w:t>
      </w:r>
      <w:r w:rsidR="00C412C8">
        <w:t xml:space="preserve"> </w:t>
      </w:r>
    </w:p>
    <w:p w14:paraId="1B3CA19F" w14:textId="12BE905A" w:rsidR="00980876" w:rsidRPr="00B559D2" w:rsidRDefault="00980876" w:rsidP="003C58C0">
      <w:pPr>
        <w:spacing w:line="360" w:lineRule="auto"/>
      </w:pPr>
      <w:r w:rsidRPr="00B559D2">
        <w:t xml:space="preserve">If no barriers to equality have been identified in the Application Form, it should be specified which actions will be taken to comply with the principle of equality between women and </w:t>
      </w:r>
      <w:r w:rsidR="00B43695" w:rsidRPr="00B559D2">
        <w:t>men,</w:t>
      </w:r>
      <w:r w:rsidRPr="00B559D2">
        <w:t xml:space="preserve"> so such barriers do not appear at any stage of the project implementation. </w:t>
      </w:r>
    </w:p>
    <w:p w14:paraId="2A29AF52" w14:textId="096CB891" w:rsidR="00980876" w:rsidRPr="00B559D2" w:rsidRDefault="00980876" w:rsidP="003C58C0">
      <w:pPr>
        <w:spacing w:line="360" w:lineRule="auto"/>
      </w:pPr>
      <w:r w:rsidRPr="00B559D2">
        <w:t xml:space="preserve">Strengthening equality between women and men includes building information and promotional message </w:t>
      </w:r>
      <w:r w:rsidR="00D57FBF" w:rsidRPr="00B559D2">
        <w:t>based on</w:t>
      </w:r>
      <w:r w:rsidRPr="00B559D2">
        <w:t xml:space="preserve"> stereotype-free communication (language, graphics, images). The </w:t>
      </w:r>
      <w:r w:rsidR="00A34E28" w:rsidRPr="00B559D2">
        <w:t>A</w:t>
      </w:r>
      <w:r w:rsidRPr="00B559D2">
        <w:t xml:space="preserve">pplication </w:t>
      </w:r>
      <w:r w:rsidR="00A34E28" w:rsidRPr="00B559D2">
        <w:t>F</w:t>
      </w:r>
      <w:r w:rsidRPr="00B559D2">
        <w:t>orm should describe how such stereotype-free communication will be implemented. It is recommended to use gender-sensitive language, that is</w:t>
      </w:r>
      <w:r w:rsidR="00D57FBF" w:rsidRPr="00B559D2">
        <w:t>,</w:t>
      </w:r>
      <w:r w:rsidRPr="00B559D2">
        <w:t xml:space="preserve"> male and female or neutral forms (e.g., ‘we are hiring’ or ‘we are looking for a person with experience in the area</w:t>
      </w:r>
      <w:r w:rsidR="00D57FBF" w:rsidRPr="00B559D2">
        <w:t xml:space="preserve"> of…</w:t>
      </w:r>
      <w:r w:rsidRPr="00B559D2">
        <w:t>’).</w:t>
      </w:r>
    </w:p>
    <w:p w14:paraId="1C37B55C" w14:textId="77777777" w:rsidR="00980876" w:rsidRPr="00B559D2" w:rsidRDefault="00980876" w:rsidP="003C58C0">
      <w:pPr>
        <w:spacing w:line="360" w:lineRule="auto"/>
      </w:pPr>
      <w:r w:rsidRPr="00B559D2">
        <w:t xml:space="preserve">The applicants should also indicate how they plan to ensure the implementation of the principle of equality between women and men in the project management process. </w:t>
      </w:r>
    </w:p>
    <w:p w14:paraId="20353FFF" w14:textId="5FE26AF5" w:rsidR="00980876" w:rsidRPr="00B559D2" w:rsidRDefault="00980876" w:rsidP="003C58C0">
      <w:pPr>
        <w:spacing w:line="360" w:lineRule="auto"/>
      </w:pPr>
      <w:r w:rsidRPr="00B559D2">
        <w:t xml:space="preserve">This information should contain a proposal for specific actions to be taken within the project as part of its management. </w:t>
      </w:r>
      <w:r w:rsidR="00EC4F85" w:rsidRPr="00B559D2">
        <w:t>E</w:t>
      </w:r>
      <w:r w:rsidRPr="00B559D2">
        <w:t>quality-based project management consists primarily in ensuring that those involved in the project implementation (e.g., the management staff, professional staff, the staff of a contractor/partner) have adequate knowledge of the obligation to respect the principle of equality between women and men and are able to apply this principle in the everyday work on the project – providing a training or an information meeting for the project staff.</w:t>
      </w:r>
    </w:p>
    <w:p w14:paraId="35E4EE9B" w14:textId="49C3522C" w:rsidR="00980876" w:rsidRPr="00B559D2" w:rsidRDefault="00980876" w:rsidP="003C58C0">
      <w:pPr>
        <w:spacing w:line="360" w:lineRule="auto"/>
      </w:pPr>
      <w:r w:rsidRPr="00B559D2">
        <w:t>Other actions for equality-based project management include:</w:t>
      </w:r>
    </w:p>
    <w:p w14:paraId="2AA28966" w14:textId="46BCE49D" w:rsidR="00980876" w:rsidRPr="00B559D2" w:rsidRDefault="00980876" w:rsidP="003C58C0">
      <w:pPr>
        <w:pStyle w:val="ListParagraph"/>
        <w:numPr>
          <w:ilvl w:val="0"/>
          <w:numId w:val="20"/>
        </w:numPr>
        <w:spacing w:line="360" w:lineRule="auto"/>
      </w:pPr>
      <w:r w:rsidRPr="00B559D2">
        <w:t>ensuring the project team works in such a way as to reconcile work and private life (e.g., organi</w:t>
      </w:r>
      <w:r w:rsidR="004C3F0F" w:rsidRPr="00B559D2">
        <w:t>s</w:t>
      </w:r>
      <w:r w:rsidRPr="00B559D2">
        <w:t xml:space="preserve">ing work with flexible employment forms or </w:t>
      </w:r>
      <w:r w:rsidRPr="00B559D2">
        <w:lastRenderedPageBreak/>
        <w:t>working hours, organi</w:t>
      </w:r>
      <w:r w:rsidR="004C3F0F" w:rsidRPr="00B559D2">
        <w:t>s</w:t>
      </w:r>
      <w:r w:rsidRPr="00B559D2">
        <w:t xml:space="preserve">ing project team meetings or internal trainings during such hours to enable the participants to </w:t>
      </w:r>
      <w:r w:rsidR="00EC4F85" w:rsidRPr="00B559D2">
        <w:t xml:space="preserve">drop off </w:t>
      </w:r>
      <w:r w:rsidRPr="00B559D2">
        <w:t>and pick up their children to and from a care facility, providing care for the dependants –</w:t>
      </w:r>
      <w:r w:rsidR="00EC4F85" w:rsidRPr="00B559D2">
        <w:t xml:space="preserve"> </w:t>
      </w:r>
      <w:r w:rsidRPr="00B559D2">
        <w:t>elderly, persons with disabilities);</w:t>
      </w:r>
    </w:p>
    <w:p w14:paraId="510AEFCD" w14:textId="0767442D" w:rsidR="00980876" w:rsidRDefault="00980876" w:rsidP="003C58C0">
      <w:pPr>
        <w:pStyle w:val="ListParagraph"/>
        <w:numPr>
          <w:ilvl w:val="0"/>
          <w:numId w:val="20"/>
        </w:numPr>
        <w:spacing w:line="360" w:lineRule="auto"/>
      </w:pPr>
      <w:r w:rsidRPr="00B559D2">
        <w:t xml:space="preserve">developing and implementing an anti-discrimination and anti-harassment procedure within the project. </w:t>
      </w:r>
    </w:p>
    <w:p w14:paraId="7DB0A987" w14:textId="0EE6B860" w:rsidR="00E465B9" w:rsidRPr="00E465B9" w:rsidRDefault="003C58C0" w:rsidP="003C58C0">
      <w:pPr>
        <w:spacing w:line="360" w:lineRule="auto"/>
      </w:pPr>
      <w:r>
        <w:rPr>
          <w:noProof/>
        </w:rPr>
        <mc:AlternateContent>
          <mc:Choice Requires="wps">
            <w:drawing>
              <wp:inline distT="0" distB="0" distL="0" distR="0" wp14:anchorId="443BE37C" wp14:editId="6521D0E4">
                <wp:extent cx="5786755" cy="2001292"/>
                <wp:effectExtent l="0" t="0" r="23495" b="18415"/>
                <wp:docPr id="208097293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6755" cy="2001292"/>
                        </a:xfrm>
                        <a:prstGeom prst="rect">
                          <a:avLst/>
                        </a:prstGeom>
                        <a:ln w="12700">
                          <a:solidFill>
                            <a:srgbClr val="003399"/>
                          </a:solidFill>
                          <a:prstDash val="solid"/>
                        </a:ln>
                      </wps:spPr>
                      <wps:txbx>
                        <w:txbxContent>
                          <w:p w14:paraId="111443C9"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 xml:space="preserve">Note: </w:t>
                            </w:r>
                          </w:p>
                          <w:p w14:paraId="517929A5"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 xml:space="preserve">Equality-based project management does not consist in hiring 50% of men and 50% of women to manage the project or making a simple declaration that the project management will comply with the equality principles. </w:t>
                            </w:r>
                          </w:p>
                          <w:p w14:paraId="303F7E8D"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Applying the criterion of gender in the recruitment process is contrary to labour law, and the application of the policies of equal pay for women and men for equal work or work of equal value is an obligation under labour law rather than a horizontal principle.</w:t>
                            </w:r>
                          </w:p>
                        </w:txbxContent>
                      </wps:txbx>
                      <wps:bodyPr wrap="square" lIns="0" tIns="0" rIns="0" bIns="0" rtlCol="0">
                        <a:noAutofit/>
                      </wps:bodyPr>
                    </wps:wsp>
                  </a:graphicData>
                </a:graphic>
              </wp:inline>
            </w:drawing>
          </mc:Choice>
          <mc:Fallback>
            <w:pict>
              <v:shape w14:anchorId="443BE37C" id="_x0000_s1029" type="#_x0000_t202" style="width:455.65pt;height:15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" filled="f" strokecolor="#039" strokeweight="1pt">
                <v:path arrowok="t"/>
                <v:textbox inset="0,0,0,0">
                  <w:txbxContent>
                    <w:p w14:paraId="111443C9"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 xml:space="preserve">Note: </w:t>
                      </w:r>
                    </w:p>
                    <w:p w14:paraId="517929A5"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 xml:space="preserve">Equality-based project management does not consist in hiring 50% of men and 50% of women to manage the project or making a simple declaration that the project management will comply with the equality principles. </w:t>
                      </w:r>
                    </w:p>
                    <w:p w14:paraId="303F7E8D"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Applying the criterion of gender in the recruitment process is contrary to labour law, and the application of the policies of equal pay for women and men for equal work or work of equal value is an obligation under labour law rather than a horizontal principle.</w:t>
                      </w:r>
                    </w:p>
                  </w:txbxContent>
                </v:textbox>
                <w10:anchorlock/>
              </v:shape>
            </w:pict>
          </mc:Fallback>
        </mc:AlternateContent>
      </w:r>
    </w:p>
    <w:p w14:paraId="3C4A7B5E" w14:textId="7170566E" w:rsidR="00980876" w:rsidRPr="00B559D2" w:rsidRDefault="00980876" w:rsidP="003C58C0">
      <w:pPr>
        <w:spacing w:line="360" w:lineRule="auto"/>
      </w:pPr>
      <w:r w:rsidRPr="00AF173D">
        <w:t>During</w:t>
      </w:r>
      <w:r w:rsidRPr="00B559D2">
        <w:rPr>
          <w:rFonts w:ascii="Open Sans SemiBold" w:eastAsia="Open Sans SemiBold" w:hAnsi="Open Sans SemiBold" w:cs="Open Sans SemiBold"/>
          <w:bCs/>
          <w:color w:val="003399"/>
        </w:rPr>
        <w:t xml:space="preserve"> the implementation process</w:t>
      </w:r>
      <w:r w:rsidR="000E2BE5" w:rsidRPr="00B559D2">
        <w:rPr>
          <w:rFonts w:ascii="Open Sans SemiBold" w:eastAsia="Open Sans SemiBold" w:hAnsi="Open Sans SemiBold" w:cs="Open Sans SemiBold"/>
          <w:bCs/>
          <w:color w:val="003399"/>
        </w:rPr>
        <w:t>,</w:t>
      </w:r>
      <w:r w:rsidR="000E2BE5" w:rsidRPr="00B559D2">
        <w:t xml:space="preserve"> </w:t>
      </w:r>
      <w:r w:rsidRPr="00B559D2">
        <w:t>in the respective reports</w:t>
      </w:r>
      <w:r w:rsidR="000E2BE5" w:rsidRPr="00B559D2">
        <w:t>,</w:t>
      </w:r>
      <w:r w:rsidRPr="00B559D2">
        <w:t xml:space="preserve"> the partners shall describe actions taken within the project to mitigate the identified barriers to equality (if any). </w:t>
      </w:r>
      <w:r w:rsidR="000E2BE5" w:rsidRPr="00B559D2">
        <w:t>W</w:t>
      </w:r>
      <w:r w:rsidRPr="00B559D2">
        <w:t>hat has been done to ensure that the needs of women and men are met as part of the project actions</w:t>
      </w:r>
      <w:r w:rsidR="000E2BE5" w:rsidRPr="00B559D2">
        <w:t xml:space="preserve"> should be indicated</w:t>
      </w:r>
      <w:r w:rsidRPr="00B559D2">
        <w:t xml:space="preserve">. </w:t>
      </w:r>
    </w:p>
    <w:p w14:paraId="5A75D8CA" w14:textId="77777777" w:rsidR="00F90ED5" w:rsidRDefault="00980876" w:rsidP="003C58C0">
      <w:pPr>
        <w:spacing w:line="360" w:lineRule="auto"/>
      </w:pPr>
      <w:r w:rsidRPr="00B559D2">
        <w:t xml:space="preserve">If no barriers to equality have been identified in the Application Form, the partners shall describe which actions they take to comply with the principle of equality between women and men </w:t>
      </w:r>
      <w:r w:rsidR="000E2BE5" w:rsidRPr="00B559D2">
        <w:t xml:space="preserve">in the progress </w:t>
      </w:r>
      <w:r w:rsidR="00B43695" w:rsidRPr="00B559D2">
        <w:t>report,</w:t>
      </w:r>
      <w:r w:rsidR="000E2BE5" w:rsidRPr="00B559D2">
        <w:t xml:space="preserve"> </w:t>
      </w:r>
      <w:r w:rsidRPr="00B559D2">
        <w:t>so such barriers do not appear at any stage of project implementation.</w:t>
      </w:r>
      <w:r w:rsidR="00F90ED5" w:rsidRPr="00F90ED5">
        <w:t xml:space="preserve"> </w:t>
      </w:r>
    </w:p>
    <w:p w14:paraId="0795371D" w14:textId="39F304F8" w:rsidR="00E465B9" w:rsidRPr="004676B1" w:rsidRDefault="00F90ED5" w:rsidP="003C58C0">
      <w:pPr>
        <w:spacing w:line="360" w:lineRule="auto"/>
      </w:pPr>
      <w:r w:rsidRPr="008A54D7">
        <w:t xml:space="preserve">Such progress report shall also describe which horizontal actions they take to promote and manage the project by considering the principle of equality </w:t>
      </w:r>
      <w:r w:rsidR="00B62D9C">
        <w:lastRenderedPageBreak/>
        <w:t>b</w:t>
      </w:r>
      <w:r w:rsidRPr="008A54D7">
        <w:t>etween women and men</w:t>
      </w:r>
      <w:r>
        <w:t>.</w:t>
      </w:r>
      <w:r>
        <w:rPr>
          <w:noProof/>
        </w:rPr>
        <mc:AlternateContent>
          <mc:Choice Requires="wps">
            <w:drawing>
              <wp:inline distT="0" distB="0" distL="0" distR="0" wp14:anchorId="2A23D9FC" wp14:editId="50C655B0">
                <wp:extent cx="6153150" cy="5057775"/>
                <wp:effectExtent l="0" t="0" r="19050" b="28575"/>
                <wp:docPr id="171" name="Text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3150" cy="5057775"/>
                        </a:xfrm>
                        <a:prstGeom prst="rect">
                          <a:avLst/>
                        </a:prstGeom>
                        <a:ln w="12700">
                          <a:solidFill>
                            <a:srgbClr val="003399"/>
                          </a:solidFill>
                          <a:prstDash val="solid"/>
                        </a:ln>
                      </wps:spPr>
                      <wps:txbx>
                        <w:txbxContent>
                          <w:p w14:paraId="78FC9B1C" w14:textId="77777777" w:rsidR="00B559D2" w:rsidRPr="000E5956" w:rsidRDefault="00B559D2" w:rsidP="00805C22">
                            <w:pPr>
                              <w:pStyle w:val="BodyText"/>
                              <w:rPr>
                                <w:rFonts w:ascii="Open Sans SemiBold" w:eastAsia="Open Sans SemiBold" w:hAnsi="Open Sans SemiBold" w:cs="Open Sans SemiBold"/>
                                <w:bCs/>
                                <w:color w:val="003399"/>
                                <w:sz w:val="24"/>
                              </w:rPr>
                            </w:pPr>
                            <w:r w:rsidRPr="000E5956">
                              <w:rPr>
                                <w:rFonts w:ascii="Open Sans SemiBold" w:eastAsia="Open Sans SemiBold" w:hAnsi="Open Sans SemiBold" w:cs="Open Sans SemiBold"/>
                                <w:bCs/>
                                <w:color w:val="003399"/>
                                <w:sz w:val="24"/>
                              </w:rPr>
                              <w:t>For the project proposal to comply with the horizonal principles, when forming the project proposal, applicants are recommended to:</w:t>
                            </w:r>
                          </w:p>
                          <w:p w14:paraId="24B8119D"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Identify the project actions in support of equality and describe how the project will ensure that planned actions are accessible to everybody, in particular persons with disabilities.</w:t>
                            </w:r>
                          </w:p>
                          <w:p w14:paraId="7E7422BC"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Identify how the project actions addresses the barriers to equality in the intervention area or within the outreach of the project.</w:t>
                            </w:r>
                          </w:p>
                          <w:p w14:paraId="05406DB6"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project staff recruitment plan and ensure that the project will be accessible to any potential interested parties.</w:t>
                            </w:r>
                          </w:p>
                          <w:p w14:paraId="675B404B"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accessibility of the project’s products.</w:t>
                            </w:r>
                          </w:p>
                          <w:p w14:paraId="78FB00D4"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process of dissemination of the information about the project to reach out to the</w:t>
                            </w:r>
                            <w:r w:rsidR="008A54D7" w:rsidRPr="004A315A">
                              <w:rPr>
                                <w:rFonts w:ascii="Open Sans" w:eastAsiaTheme="minorHAnsi" w:hAnsi="Open Sans" w:cstheme="minorBidi"/>
                                <w:color w:val="auto"/>
                                <w:sz w:val="24"/>
                                <w:szCs w:val="22"/>
                                <w:lang w:eastAsia="en-US"/>
                              </w:rPr>
                              <w:t xml:space="preserve"> </w:t>
                            </w:r>
                            <w:r w:rsidRPr="004A315A">
                              <w:rPr>
                                <w:rFonts w:ascii="Open Sans" w:eastAsiaTheme="minorHAnsi" w:hAnsi="Open Sans" w:cstheme="minorBidi"/>
                                <w:color w:val="auto"/>
                                <w:sz w:val="24"/>
                                <w:szCs w:val="22"/>
                                <w:lang w:eastAsia="en-US"/>
                              </w:rPr>
                              <w:t>greatest possible group of interested parties.</w:t>
                            </w:r>
                          </w:p>
                          <w:p w14:paraId="5EF7B710"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process of dissemination of the information about the project to use messages that are free from stereotypes (e.g., promoting the image of women in the professions that are usually considered to be male-oriented, and the image of men in the professions perceived as female-oriented).</w:t>
                            </w:r>
                          </w:p>
                          <w:p w14:paraId="058739CA"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Describe the selection process to recruit project staff and the application criteria.</w:t>
                            </w:r>
                          </w:p>
                          <w:p w14:paraId="2A24FE17" w14:textId="7E510705" w:rsidR="00B559D2"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Describe a manner for project management that will promote equality between women and men.</w:t>
                            </w:r>
                          </w:p>
                        </w:txbxContent>
                      </wps:txbx>
                      <wps:bodyPr wrap="square" lIns="0" tIns="0" rIns="0" bIns="0" rtlCol="0">
                        <a:noAutofit/>
                      </wps:bodyPr>
                    </wps:wsp>
                  </a:graphicData>
                </a:graphic>
              </wp:inline>
            </w:drawing>
          </mc:Choice>
          <mc:Fallback>
            <w:pict>
              <v:shape w14:anchorId="2A23D9FC" id="Textbox 171" o:spid="_x0000_s1030" type="#_x0000_t202" style="width:484.5pt;height:3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" filled="f" strokecolor="#039" strokeweight="1pt">
                <v:path arrowok="t"/>
                <v:textbox inset="0,0,0,0">
                  <w:txbxContent>
                    <w:p w14:paraId="78FC9B1C" w14:textId="77777777" w:rsidR="00B559D2" w:rsidRPr="000E5956" w:rsidRDefault="00B559D2" w:rsidP="00805C22">
                      <w:pPr>
                        <w:pStyle w:val="BodyText"/>
                        <w:rPr>
                          <w:rFonts w:ascii="Open Sans SemiBold" w:eastAsia="Open Sans SemiBold" w:hAnsi="Open Sans SemiBold" w:cs="Open Sans SemiBold"/>
                          <w:bCs/>
                          <w:color w:val="003399"/>
                          <w:sz w:val="24"/>
                        </w:rPr>
                      </w:pPr>
                      <w:r w:rsidRPr="000E5956">
                        <w:rPr>
                          <w:rFonts w:ascii="Open Sans SemiBold" w:eastAsia="Open Sans SemiBold" w:hAnsi="Open Sans SemiBold" w:cs="Open Sans SemiBold"/>
                          <w:bCs/>
                          <w:color w:val="003399"/>
                          <w:sz w:val="24"/>
                        </w:rPr>
                        <w:t>For the project proposal to comply with the horizonal principles, when forming the project proposal, applicants are recommended to:</w:t>
                      </w:r>
                    </w:p>
                    <w:p w14:paraId="24B8119D"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Identify the project actions in support of equality and describe how the project will ensure that planned actions are accessible to everybody, in particular persons with disabilities.</w:t>
                      </w:r>
                    </w:p>
                    <w:p w14:paraId="7E7422BC"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Identify how the project actions addresses the barriers to equality in the intervention area or within the outreach of the project.</w:t>
                      </w:r>
                    </w:p>
                    <w:p w14:paraId="05406DB6"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project staff recruitment plan and ensure that the project will be accessible to any potential interested parties.</w:t>
                      </w:r>
                    </w:p>
                    <w:p w14:paraId="675B404B"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accessibility of the project’s products.</w:t>
                      </w:r>
                    </w:p>
                    <w:p w14:paraId="78FB00D4"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process of dissemination of the information about the project to reach out to the</w:t>
                      </w:r>
                      <w:r w:rsidR="008A54D7" w:rsidRPr="004A315A">
                        <w:rPr>
                          <w:rFonts w:ascii="Open Sans" w:eastAsiaTheme="minorHAnsi" w:hAnsi="Open Sans" w:cstheme="minorBidi"/>
                          <w:color w:val="auto"/>
                          <w:sz w:val="24"/>
                          <w:szCs w:val="22"/>
                          <w:lang w:eastAsia="en-US"/>
                        </w:rPr>
                        <w:t xml:space="preserve"> </w:t>
                      </w:r>
                      <w:r w:rsidRPr="004A315A">
                        <w:rPr>
                          <w:rFonts w:ascii="Open Sans" w:eastAsiaTheme="minorHAnsi" w:hAnsi="Open Sans" w:cstheme="minorBidi"/>
                          <w:color w:val="auto"/>
                          <w:sz w:val="24"/>
                          <w:szCs w:val="22"/>
                          <w:lang w:eastAsia="en-US"/>
                        </w:rPr>
                        <w:t>greatest possible group of interested parties.</w:t>
                      </w:r>
                    </w:p>
                    <w:p w14:paraId="5EF7B710"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Specify the process of dissemination of the information about the project to use messages that are free from stereotypes (e.g., promoting the image of women in the professions that are usually considered to be male-oriented, and the image of men in the professions perceived as female-oriented).</w:t>
                      </w:r>
                    </w:p>
                    <w:p w14:paraId="058739CA" w14:textId="77777777" w:rsidR="00E465B9"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Describe the selection process to recruit project staff and the application criteria.</w:t>
                      </w:r>
                    </w:p>
                    <w:p w14:paraId="2A24FE17" w14:textId="7E510705" w:rsidR="00B559D2" w:rsidRPr="004A315A" w:rsidRDefault="00B559D2" w:rsidP="00805C22">
                      <w:pPr>
                        <w:pStyle w:val="BodyText"/>
                        <w:numPr>
                          <w:ilvl w:val="0"/>
                          <w:numId w:val="74"/>
                        </w:numPr>
                        <w:rPr>
                          <w:rFonts w:ascii="Open Sans" w:eastAsiaTheme="minorHAnsi" w:hAnsi="Open Sans" w:cstheme="minorBidi"/>
                          <w:color w:val="auto"/>
                          <w:sz w:val="24"/>
                          <w:szCs w:val="22"/>
                          <w:lang w:eastAsia="en-US"/>
                        </w:rPr>
                      </w:pPr>
                      <w:r w:rsidRPr="004A315A">
                        <w:rPr>
                          <w:rFonts w:ascii="Open Sans" w:eastAsiaTheme="minorHAnsi" w:hAnsi="Open Sans" w:cstheme="minorBidi"/>
                          <w:color w:val="auto"/>
                          <w:sz w:val="24"/>
                          <w:szCs w:val="22"/>
                          <w:lang w:eastAsia="en-US"/>
                        </w:rPr>
                        <w:t>Describe a manner for project management that will promote equality between women and men.</w:t>
                      </w:r>
                    </w:p>
                  </w:txbxContent>
                </v:textbox>
                <w10:anchorlock/>
              </v:shape>
            </w:pict>
          </mc:Fallback>
        </mc:AlternateContent>
      </w:r>
    </w:p>
    <w:p w14:paraId="020435C4" w14:textId="4277C389" w:rsidR="00EC604B" w:rsidRPr="000E5956" w:rsidRDefault="00EC604B" w:rsidP="003C58C0">
      <w:pPr>
        <w:spacing w:line="360" w:lineRule="auto"/>
        <w:rPr>
          <w:rFonts w:ascii="Open Sans SemiBold" w:eastAsia="Open Sans SemiBold" w:hAnsi="Open Sans SemiBold" w:cs="Open Sans SemiBold"/>
          <w:bCs/>
          <w:color w:val="003399"/>
          <w:szCs w:val="24"/>
        </w:rPr>
      </w:pPr>
      <w:r w:rsidRPr="000E5956">
        <w:rPr>
          <w:rFonts w:ascii="Open Sans SemiBold" w:eastAsia="Open Sans SemiBold" w:hAnsi="Open Sans SemiBold" w:cs="Open Sans SemiBold"/>
          <w:bCs/>
          <w:color w:val="003399"/>
          <w:szCs w:val="24"/>
        </w:rPr>
        <w:t xml:space="preserve">Sustainable development principle </w:t>
      </w:r>
    </w:p>
    <w:p w14:paraId="6372E378" w14:textId="0B429F56" w:rsidR="00677B57" w:rsidRDefault="00EC604B" w:rsidP="003C58C0">
      <w:pPr>
        <w:spacing w:line="360" w:lineRule="auto"/>
      </w:pPr>
      <w:r w:rsidRPr="00677B57">
        <w:t xml:space="preserve">Sustainable development is development that meets the needs of the present without compromising the ability of future generations to meet their own needs. Important aspects of sustainable development include not only economic, but also social as well as environmental considerations. Each project should, as appropriate to its nature, take into account matters that regard preserving, protecting and improving the quality of the environment; protecting human </w:t>
      </w:r>
      <w:r w:rsidRPr="00677B57">
        <w:lastRenderedPageBreak/>
        <w:t>health; prudent and rational utilisation of natural resources; combating climate change</w:t>
      </w:r>
      <w:r w:rsidR="00312982">
        <w:rPr>
          <w:rStyle w:val="FootnoteReference"/>
          <w:rFonts w:eastAsia="Open Sans" w:cs="Open Sans"/>
          <w:sz w:val="20"/>
          <w:szCs w:val="20"/>
        </w:rPr>
        <w:footnoteReference w:id="9"/>
      </w:r>
      <w:r w:rsidRPr="00677B57">
        <w:t xml:space="preserve">. </w:t>
      </w:r>
    </w:p>
    <w:p w14:paraId="226E5EDA" w14:textId="5C86CD73" w:rsidR="00677B57" w:rsidRPr="00677B57" w:rsidRDefault="00677B57" w:rsidP="003C58C0">
      <w:pPr>
        <w:spacing w:line="360" w:lineRule="auto"/>
      </w:pPr>
      <w:r w:rsidRPr="00677B57">
        <w:t>A new approach in the 2021–2027 financial perspective is the ‘do no significant harm‘ (DNSH) principle, which is an element of the horizontal principle. It encompasses the prohibition of doing significant harm in the following six areas: climate change mitigation, climate change adaptation, water resources, the circular economy, pollution prevention, biodiversity. An activity does significant harm when at least one of the following six situations is taking place.</w:t>
      </w:r>
    </w:p>
    <w:p w14:paraId="24672633" w14:textId="3CDBB362" w:rsidR="00FF491E" w:rsidRPr="00677B57" w:rsidRDefault="00677B57" w:rsidP="003C58C0">
      <w:pPr>
        <w:spacing w:line="360" w:lineRule="auto"/>
      </w:pPr>
      <w:r w:rsidRPr="00677B57">
        <w:t xml:space="preserve">When assessing the existing circumstances, both the environmental impact of the activities </w:t>
      </w:r>
      <w:r w:rsidR="00D6511C" w:rsidRPr="00677B57">
        <w:t>themselves</w:t>
      </w:r>
      <w:r w:rsidRPr="00677B57">
        <w:t xml:space="preserve"> and the environmental impact of the products and services provided by these activities throughout their life cycle shall be taken into account</w:t>
      </w:r>
      <w:r>
        <w:t>.</w:t>
      </w:r>
    </w:p>
    <w:tbl>
      <w:tblPr>
        <w:tblStyle w:val="TableNormal1"/>
        <w:tblpPr w:leftFromText="180" w:rightFromText="180" w:vertAnchor="text" w:horzAnchor="margin" w:tblpY="1"/>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Significant harm activities"/>
        <w:tblDescription w:val="1. An activity does significant harm if it leads to significant greenhouse gas emissions. Environmental objective violated: climate change mitigation&#10;2. An activity does significant harm if it leads to an increased adverse impact on the current climate and the expected future climate. Environmental objective violated: climate change adaptation.&#10;3. An activity does significant harm if it is detrimental to:&#10;• the good ecological status of surface water (e.g., a river, a lake, an artificial reservoir) and groundwater; or&#10;• the good environmental status of marine waters&#10;Environmental objective violated: the sustainable use and protection of water and marine resources&#10;4. An activity does significant harm if it leads to:&#10;• a significant inefficiency in the use of materials or natural resources such as non-renewable energy sources, raw materials, water and land at one or more stages of the life cycle of products, including in terms of durability, reparability, upgradability, reusability or recyclability of products;&#10;• a significant increase in the generation, incineration, or disposal of waste, with the exception of the incineration of non-recyclable hazardous waste; or • the long-term disposal of waste may cause significant and long-term harm to the environment&#10;Environmental objective violated: the circular economy, including waste prevention and recycling.&#10;5. An activity does significant harm if it leads to a significant increase in the emissions of pollutants into the air, water or land, as compared with the situation before the activity started&#10;Environmental objective violated: pollution prevention and control&#10;6. An activity does significant harm if:&#10;• it is significantly detrimental to the good condition and resilience of ecosystems; or&#10;• it is detrimental to the conservation status of habitats and species, including those of Union interest&#10;Environmental objective violated: the protection and restoration of biodiversity and ecosystems."/>
      </w:tblPr>
      <w:tblGrid>
        <w:gridCol w:w="572"/>
        <w:gridCol w:w="4723"/>
        <w:gridCol w:w="3780"/>
      </w:tblGrid>
      <w:tr w:rsidR="00114660" w14:paraId="19EB8DE8" w14:textId="77777777" w:rsidTr="000E5956">
        <w:trPr>
          <w:trHeight w:val="516"/>
          <w:tblHeader/>
        </w:trPr>
        <w:tc>
          <w:tcPr>
            <w:tcW w:w="572" w:type="dxa"/>
            <w:tcBorders>
              <w:left w:val="single" w:sz="12" w:space="0" w:color="003399"/>
              <w:bottom w:val="single" w:sz="12" w:space="0" w:color="003399"/>
              <w:right w:val="single" w:sz="12" w:space="0" w:color="003399"/>
            </w:tcBorders>
          </w:tcPr>
          <w:p w14:paraId="1597B8B9" w14:textId="77777777" w:rsidR="00114660" w:rsidRDefault="00114660" w:rsidP="003C58C0">
            <w:pPr>
              <w:pStyle w:val="TableParagraph"/>
              <w:spacing w:line="360" w:lineRule="auto"/>
            </w:pPr>
          </w:p>
        </w:tc>
        <w:tc>
          <w:tcPr>
            <w:tcW w:w="4723" w:type="dxa"/>
            <w:tcBorders>
              <w:left w:val="single" w:sz="12" w:space="0" w:color="003399"/>
              <w:bottom w:val="single" w:sz="12" w:space="0" w:color="003399"/>
              <w:right w:val="single" w:sz="12" w:space="0" w:color="003399"/>
            </w:tcBorders>
            <w:vAlign w:val="center"/>
          </w:tcPr>
          <w:p w14:paraId="78964DE5" w14:textId="77777777" w:rsidR="00114660" w:rsidRPr="000E5956" w:rsidRDefault="00114660" w:rsidP="003C58C0">
            <w:pPr>
              <w:pStyle w:val="TableParagraph"/>
              <w:spacing w:line="360" w:lineRule="auto"/>
              <w:rPr>
                <w:rFonts w:ascii="Open Sans SemiBold" w:hAnsi="Open Sans SemiBold"/>
                <w:b/>
                <w:color w:val="003399"/>
                <w:szCs w:val="28"/>
              </w:rPr>
            </w:pPr>
            <w:r w:rsidRPr="000E5956">
              <w:rPr>
                <w:rFonts w:ascii="Open Sans SemiBold" w:hAnsi="Open Sans SemiBold"/>
                <w:b/>
                <w:color w:val="003399"/>
                <w:szCs w:val="28"/>
              </w:rPr>
              <w:t>An activity does signiﬁcant harm if:</w:t>
            </w:r>
          </w:p>
        </w:tc>
        <w:tc>
          <w:tcPr>
            <w:tcW w:w="3780" w:type="dxa"/>
            <w:tcBorders>
              <w:left w:val="single" w:sz="12" w:space="0" w:color="003399"/>
              <w:bottom w:val="single" w:sz="12" w:space="0" w:color="003399"/>
              <w:right w:val="single" w:sz="12" w:space="0" w:color="003399"/>
            </w:tcBorders>
            <w:vAlign w:val="center"/>
          </w:tcPr>
          <w:p w14:paraId="39374F57" w14:textId="77777777" w:rsidR="00114660" w:rsidRPr="000E5956" w:rsidRDefault="00114660" w:rsidP="003C58C0">
            <w:pPr>
              <w:pStyle w:val="TableParagraph"/>
              <w:spacing w:line="360" w:lineRule="auto"/>
              <w:rPr>
                <w:rFonts w:ascii="Open Sans SemiBold" w:hAnsi="Open Sans SemiBold"/>
                <w:b/>
                <w:color w:val="003399"/>
                <w:szCs w:val="28"/>
              </w:rPr>
            </w:pPr>
            <w:r w:rsidRPr="000E5956">
              <w:rPr>
                <w:rFonts w:ascii="Open Sans SemiBold" w:hAnsi="Open Sans SemiBold"/>
                <w:b/>
                <w:color w:val="003399"/>
                <w:szCs w:val="28"/>
              </w:rPr>
              <w:t>Environmental objective violated:</w:t>
            </w:r>
          </w:p>
        </w:tc>
      </w:tr>
      <w:tr w:rsidR="00114660" w14:paraId="56D4F7A6" w14:textId="77777777" w:rsidTr="00114660">
        <w:trPr>
          <w:trHeight w:val="638"/>
        </w:trPr>
        <w:tc>
          <w:tcPr>
            <w:tcW w:w="572" w:type="dxa"/>
            <w:tcBorders>
              <w:top w:val="single" w:sz="12" w:space="0" w:color="003399"/>
              <w:left w:val="single" w:sz="12" w:space="0" w:color="003399"/>
              <w:bottom w:val="single" w:sz="12" w:space="0" w:color="003399"/>
              <w:right w:val="single" w:sz="12" w:space="0" w:color="003399"/>
            </w:tcBorders>
          </w:tcPr>
          <w:p w14:paraId="7CAFB3D3" w14:textId="77777777" w:rsidR="00114660" w:rsidRPr="001060E6" w:rsidRDefault="00114660" w:rsidP="003C58C0">
            <w:pPr>
              <w:pStyle w:val="TableParagraph"/>
              <w:spacing w:line="360" w:lineRule="auto"/>
            </w:pPr>
            <w:r w:rsidRPr="001060E6">
              <w:t>1</w:t>
            </w:r>
          </w:p>
        </w:tc>
        <w:tc>
          <w:tcPr>
            <w:tcW w:w="4723" w:type="dxa"/>
            <w:tcBorders>
              <w:top w:val="single" w:sz="12" w:space="0" w:color="003399"/>
              <w:left w:val="single" w:sz="12" w:space="0" w:color="003399"/>
              <w:bottom w:val="single" w:sz="12" w:space="0" w:color="003399"/>
              <w:right w:val="single" w:sz="12" w:space="0" w:color="003399"/>
            </w:tcBorders>
          </w:tcPr>
          <w:p w14:paraId="7B92AED8" w14:textId="77777777" w:rsidR="00114660" w:rsidRPr="00252B12" w:rsidRDefault="00114660" w:rsidP="003C58C0">
            <w:pPr>
              <w:pStyle w:val="TableParagraph"/>
              <w:spacing w:line="360" w:lineRule="auto"/>
            </w:pPr>
            <w:r w:rsidRPr="00252B12">
              <w:t>it leads to signiﬁcant greenhouse</w:t>
            </w:r>
            <w:r>
              <w:t xml:space="preserve"> </w:t>
            </w:r>
            <w:r w:rsidRPr="00252B12">
              <w:t>gas emissions</w:t>
            </w:r>
          </w:p>
        </w:tc>
        <w:tc>
          <w:tcPr>
            <w:tcW w:w="3780" w:type="dxa"/>
            <w:tcBorders>
              <w:top w:val="single" w:sz="12" w:space="0" w:color="003399"/>
              <w:left w:val="single" w:sz="12" w:space="0" w:color="003399"/>
              <w:bottom w:val="single" w:sz="12" w:space="0" w:color="003399"/>
              <w:right w:val="single" w:sz="12" w:space="0" w:color="003399"/>
            </w:tcBorders>
          </w:tcPr>
          <w:p w14:paraId="454A84C9" w14:textId="77777777" w:rsidR="00114660" w:rsidRPr="00252B12" w:rsidRDefault="00114660" w:rsidP="003C58C0">
            <w:pPr>
              <w:pStyle w:val="TableParagraph"/>
              <w:spacing w:line="360" w:lineRule="auto"/>
            </w:pPr>
            <w:r w:rsidRPr="00252B12">
              <w:t>climate change mitigation</w:t>
            </w:r>
          </w:p>
        </w:tc>
      </w:tr>
      <w:tr w:rsidR="00114660" w14:paraId="136F5772" w14:textId="77777777" w:rsidTr="00114660">
        <w:trPr>
          <w:trHeight w:val="863"/>
        </w:trPr>
        <w:tc>
          <w:tcPr>
            <w:tcW w:w="572" w:type="dxa"/>
            <w:tcBorders>
              <w:top w:val="single" w:sz="12" w:space="0" w:color="003399"/>
              <w:left w:val="single" w:sz="12" w:space="0" w:color="003399"/>
              <w:bottom w:val="single" w:sz="12" w:space="0" w:color="003399"/>
              <w:right w:val="single" w:sz="12" w:space="0" w:color="003399"/>
            </w:tcBorders>
          </w:tcPr>
          <w:p w14:paraId="432D72F9" w14:textId="77777777" w:rsidR="00114660" w:rsidRPr="001060E6" w:rsidRDefault="00114660" w:rsidP="003C58C0">
            <w:pPr>
              <w:pStyle w:val="TableParagraph"/>
              <w:spacing w:line="360" w:lineRule="auto"/>
            </w:pPr>
            <w:r w:rsidRPr="001060E6">
              <w:t>2</w:t>
            </w:r>
          </w:p>
        </w:tc>
        <w:tc>
          <w:tcPr>
            <w:tcW w:w="4723" w:type="dxa"/>
            <w:tcBorders>
              <w:top w:val="single" w:sz="12" w:space="0" w:color="003399"/>
              <w:left w:val="single" w:sz="12" w:space="0" w:color="003399"/>
              <w:bottom w:val="single" w:sz="12" w:space="0" w:color="003399"/>
              <w:right w:val="single" w:sz="12" w:space="0" w:color="003399"/>
            </w:tcBorders>
          </w:tcPr>
          <w:p w14:paraId="41A081DD" w14:textId="77777777" w:rsidR="00114660" w:rsidRPr="00252B12" w:rsidRDefault="00114660" w:rsidP="003C58C0">
            <w:pPr>
              <w:pStyle w:val="TableParagraph"/>
              <w:spacing w:line="360" w:lineRule="auto"/>
            </w:pPr>
            <w:r w:rsidRPr="00252B12">
              <w:t>it leads to an increased adverse impact on the current climate and the expected future climate</w:t>
            </w:r>
          </w:p>
        </w:tc>
        <w:tc>
          <w:tcPr>
            <w:tcW w:w="3780" w:type="dxa"/>
            <w:tcBorders>
              <w:top w:val="single" w:sz="12" w:space="0" w:color="003399"/>
              <w:left w:val="single" w:sz="12" w:space="0" w:color="003399"/>
              <w:bottom w:val="single" w:sz="12" w:space="0" w:color="003399"/>
              <w:right w:val="single" w:sz="12" w:space="0" w:color="003399"/>
            </w:tcBorders>
          </w:tcPr>
          <w:p w14:paraId="45A2D918" w14:textId="77777777" w:rsidR="00114660" w:rsidRPr="00252B12" w:rsidRDefault="00114660" w:rsidP="003C58C0">
            <w:pPr>
              <w:pStyle w:val="TableParagraph"/>
              <w:spacing w:line="360" w:lineRule="auto"/>
            </w:pPr>
            <w:r w:rsidRPr="00252B12">
              <w:t>climate change adaptation</w:t>
            </w:r>
          </w:p>
        </w:tc>
      </w:tr>
      <w:tr w:rsidR="00114660" w:rsidRPr="00805C22" w14:paraId="20A160E9" w14:textId="77777777" w:rsidTr="00114660">
        <w:trPr>
          <w:trHeight w:val="1751"/>
        </w:trPr>
        <w:tc>
          <w:tcPr>
            <w:tcW w:w="572" w:type="dxa"/>
            <w:tcBorders>
              <w:top w:val="single" w:sz="12" w:space="0" w:color="003399"/>
              <w:left w:val="single" w:sz="12" w:space="0" w:color="003399"/>
              <w:bottom w:val="single" w:sz="12" w:space="0" w:color="003399"/>
              <w:right w:val="single" w:sz="12" w:space="0" w:color="003399"/>
            </w:tcBorders>
          </w:tcPr>
          <w:p w14:paraId="317A6F35" w14:textId="77777777" w:rsidR="00114660" w:rsidRPr="001060E6" w:rsidRDefault="00114660" w:rsidP="003C58C0">
            <w:pPr>
              <w:pStyle w:val="TableParagraph"/>
              <w:spacing w:line="360" w:lineRule="auto"/>
            </w:pPr>
            <w:r w:rsidRPr="001060E6">
              <w:lastRenderedPageBreak/>
              <w:t>3</w:t>
            </w:r>
          </w:p>
        </w:tc>
        <w:tc>
          <w:tcPr>
            <w:tcW w:w="4723" w:type="dxa"/>
            <w:tcBorders>
              <w:top w:val="single" w:sz="12" w:space="0" w:color="003399"/>
              <w:left w:val="single" w:sz="12" w:space="0" w:color="003399"/>
              <w:bottom w:val="single" w:sz="12" w:space="0" w:color="003399"/>
              <w:right w:val="single" w:sz="12" w:space="0" w:color="003399"/>
            </w:tcBorders>
          </w:tcPr>
          <w:p w14:paraId="4108FFF9" w14:textId="77777777" w:rsidR="00114660" w:rsidRPr="00252B12" w:rsidRDefault="00114660" w:rsidP="003C58C0">
            <w:pPr>
              <w:pStyle w:val="TableParagraph"/>
              <w:spacing w:line="360" w:lineRule="auto"/>
            </w:pPr>
            <w:r w:rsidRPr="00252B12">
              <w:t>it is detrimental to:</w:t>
            </w:r>
          </w:p>
          <w:p w14:paraId="1150C462" w14:textId="77777777" w:rsidR="00114660" w:rsidRPr="00E210BD" w:rsidRDefault="00114660" w:rsidP="003C58C0">
            <w:pPr>
              <w:pStyle w:val="TableParagraph"/>
              <w:numPr>
                <w:ilvl w:val="0"/>
                <w:numId w:val="35"/>
              </w:numPr>
              <w:spacing w:line="360" w:lineRule="auto"/>
            </w:pPr>
            <w:r w:rsidRPr="00252B12">
              <w:t>the good ecological status of surface water (e.g., a river, a lake, an artiﬁcial reservoir) and groundwater;</w:t>
            </w:r>
            <w:r>
              <w:t xml:space="preserve"> or</w:t>
            </w:r>
          </w:p>
          <w:p w14:paraId="628A9DAB" w14:textId="77777777" w:rsidR="00114660" w:rsidRPr="00252B12" w:rsidRDefault="00114660" w:rsidP="003C58C0">
            <w:pPr>
              <w:pStyle w:val="TableParagraph"/>
              <w:numPr>
                <w:ilvl w:val="0"/>
                <w:numId w:val="35"/>
              </w:numPr>
              <w:spacing w:line="360" w:lineRule="auto"/>
            </w:pPr>
            <w:r w:rsidRPr="00252B12">
              <w:t>the good environmental status of marine waters</w:t>
            </w:r>
          </w:p>
        </w:tc>
        <w:tc>
          <w:tcPr>
            <w:tcW w:w="3780" w:type="dxa"/>
            <w:tcBorders>
              <w:top w:val="single" w:sz="12" w:space="0" w:color="003399"/>
              <w:left w:val="single" w:sz="12" w:space="0" w:color="003399"/>
              <w:bottom w:val="single" w:sz="12" w:space="0" w:color="003399"/>
              <w:right w:val="single" w:sz="12" w:space="0" w:color="003399"/>
            </w:tcBorders>
          </w:tcPr>
          <w:p w14:paraId="7ACFA08E" w14:textId="77777777" w:rsidR="00114660" w:rsidRDefault="00114660" w:rsidP="003C58C0">
            <w:pPr>
              <w:pStyle w:val="TableParagraph"/>
              <w:spacing w:line="360" w:lineRule="auto"/>
            </w:pPr>
            <w:r w:rsidRPr="00252B12">
              <w:t>the sustainable use and protection of water and marine resources</w:t>
            </w:r>
          </w:p>
          <w:p w14:paraId="0A4F55F5" w14:textId="77777777" w:rsidR="00114660" w:rsidRPr="00252B12" w:rsidRDefault="00114660" w:rsidP="003C58C0">
            <w:pPr>
              <w:pStyle w:val="TableParagraph"/>
              <w:spacing w:line="360" w:lineRule="auto"/>
            </w:pPr>
          </w:p>
        </w:tc>
      </w:tr>
      <w:tr w:rsidR="00114660" w:rsidRPr="00805C22" w14:paraId="201223FC" w14:textId="77777777" w:rsidTr="00114660">
        <w:trPr>
          <w:trHeight w:val="4473"/>
        </w:trPr>
        <w:tc>
          <w:tcPr>
            <w:tcW w:w="572" w:type="dxa"/>
            <w:tcBorders>
              <w:top w:val="single" w:sz="12" w:space="0" w:color="003399"/>
              <w:left w:val="single" w:sz="12" w:space="0" w:color="003399"/>
              <w:bottom w:val="single" w:sz="12" w:space="0" w:color="003399"/>
              <w:right w:val="single" w:sz="12" w:space="0" w:color="003399"/>
            </w:tcBorders>
          </w:tcPr>
          <w:p w14:paraId="6A0F9A5E" w14:textId="77777777" w:rsidR="00114660" w:rsidRPr="001060E6" w:rsidRDefault="00114660" w:rsidP="003C58C0">
            <w:pPr>
              <w:pStyle w:val="TableParagraph"/>
              <w:spacing w:line="360" w:lineRule="auto"/>
            </w:pPr>
            <w:r w:rsidRPr="001060E6">
              <w:t>4</w:t>
            </w:r>
          </w:p>
        </w:tc>
        <w:tc>
          <w:tcPr>
            <w:tcW w:w="4723" w:type="dxa"/>
            <w:tcBorders>
              <w:top w:val="single" w:sz="12" w:space="0" w:color="003399"/>
              <w:left w:val="single" w:sz="12" w:space="0" w:color="003399"/>
              <w:bottom w:val="single" w:sz="12" w:space="0" w:color="003399"/>
              <w:right w:val="single" w:sz="12" w:space="0" w:color="003399"/>
            </w:tcBorders>
          </w:tcPr>
          <w:p w14:paraId="73A1EC2D" w14:textId="77777777" w:rsidR="00114660" w:rsidRPr="00252B12" w:rsidRDefault="00114660" w:rsidP="003C58C0">
            <w:pPr>
              <w:pStyle w:val="TableParagraph"/>
              <w:spacing w:line="360" w:lineRule="auto"/>
            </w:pPr>
            <w:r w:rsidRPr="00252B12">
              <w:t>it leads to:</w:t>
            </w:r>
          </w:p>
          <w:p w14:paraId="25EE66FF" w14:textId="77777777" w:rsidR="00114660" w:rsidRPr="00E210BD" w:rsidRDefault="00114660" w:rsidP="003C58C0">
            <w:pPr>
              <w:pStyle w:val="TableParagraph"/>
              <w:numPr>
                <w:ilvl w:val="0"/>
                <w:numId w:val="35"/>
              </w:numPr>
              <w:spacing w:line="360" w:lineRule="auto"/>
            </w:pPr>
            <w:r w:rsidRPr="00E210BD">
              <w:t xml:space="preserve">a significant inefficiency in the use of materials or natural resources such as non-renewable energy sources, raw materials, water and land at one or more stages of the life cycle of products, including in terms of durability, reparability, upgradability, reusability or recyclability of products; </w:t>
            </w:r>
          </w:p>
          <w:p w14:paraId="45F206CC" w14:textId="77777777" w:rsidR="00114660" w:rsidRPr="00E210BD" w:rsidRDefault="00114660" w:rsidP="003C58C0">
            <w:pPr>
              <w:pStyle w:val="TableParagraph"/>
              <w:numPr>
                <w:ilvl w:val="0"/>
                <w:numId w:val="35"/>
              </w:numPr>
              <w:spacing w:line="360" w:lineRule="auto"/>
            </w:pPr>
            <w:r w:rsidRPr="00E210BD">
              <w:t xml:space="preserve">a significant increase in the generation, incineration, or disposal of waste, with the exception of the incineration of non-recyclable hazardous waste; or </w:t>
            </w:r>
          </w:p>
          <w:p w14:paraId="70FBA8DB" w14:textId="77777777" w:rsidR="00114660" w:rsidRPr="00E210BD" w:rsidRDefault="00114660" w:rsidP="003C58C0">
            <w:pPr>
              <w:pStyle w:val="TableParagraph"/>
              <w:numPr>
                <w:ilvl w:val="0"/>
                <w:numId w:val="35"/>
              </w:numPr>
              <w:spacing w:line="360" w:lineRule="auto"/>
            </w:pPr>
            <w:r w:rsidRPr="00E210BD">
              <w:t>the long-term disposal of waste may cause significant and long-term harm to the environment</w:t>
            </w:r>
          </w:p>
        </w:tc>
        <w:tc>
          <w:tcPr>
            <w:tcW w:w="3780" w:type="dxa"/>
            <w:tcBorders>
              <w:top w:val="single" w:sz="12" w:space="0" w:color="003399"/>
              <w:left w:val="single" w:sz="12" w:space="0" w:color="003399"/>
              <w:bottom w:val="single" w:sz="12" w:space="0" w:color="003399"/>
              <w:right w:val="single" w:sz="12" w:space="0" w:color="003399"/>
            </w:tcBorders>
          </w:tcPr>
          <w:p w14:paraId="0189D738" w14:textId="77777777" w:rsidR="00114660" w:rsidRPr="00252B12" w:rsidRDefault="00114660" w:rsidP="003C58C0">
            <w:pPr>
              <w:pStyle w:val="TableParagraph"/>
              <w:spacing w:line="360" w:lineRule="auto"/>
            </w:pPr>
            <w:r w:rsidRPr="00252B12">
              <w:t>the circular economy, including</w:t>
            </w:r>
            <w:r>
              <w:t xml:space="preserve"> </w:t>
            </w:r>
            <w:r w:rsidRPr="00252B12">
              <w:t>waste prevention and recycling</w:t>
            </w:r>
          </w:p>
        </w:tc>
      </w:tr>
      <w:tr w:rsidR="00114660" w:rsidRPr="00677B57" w14:paraId="28D72FE8" w14:textId="77777777" w:rsidTr="00114660">
        <w:trPr>
          <w:trHeight w:val="1206"/>
        </w:trPr>
        <w:tc>
          <w:tcPr>
            <w:tcW w:w="572" w:type="dxa"/>
            <w:tcBorders>
              <w:top w:val="single" w:sz="12" w:space="0" w:color="003399"/>
              <w:left w:val="single" w:sz="12" w:space="0" w:color="003399"/>
              <w:bottom w:val="single" w:sz="12" w:space="0" w:color="003399"/>
              <w:right w:val="single" w:sz="12" w:space="0" w:color="003399"/>
            </w:tcBorders>
          </w:tcPr>
          <w:p w14:paraId="72FB4D91" w14:textId="77777777" w:rsidR="00114660" w:rsidRPr="001060E6" w:rsidRDefault="00114660" w:rsidP="003C58C0">
            <w:pPr>
              <w:pStyle w:val="TableParagraph"/>
              <w:spacing w:line="360" w:lineRule="auto"/>
            </w:pPr>
            <w:r w:rsidRPr="001060E6">
              <w:lastRenderedPageBreak/>
              <w:t>5</w:t>
            </w:r>
          </w:p>
          <w:p w14:paraId="2DDBA2E9" w14:textId="77777777" w:rsidR="00114660" w:rsidRPr="001060E6" w:rsidRDefault="00114660" w:rsidP="003C58C0">
            <w:pPr>
              <w:pStyle w:val="TableParagraph"/>
              <w:spacing w:line="360" w:lineRule="auto"/>
            </w:pPr>
          </w:p>
        </w:tc>
        <w:tc>
          <w:tcPr>
            <w:tcW w:w="4723" w:type="dxa"/>
            <w:tcBorders>
              <w:top w:val="single" w:sz="12" w:space="0" w:color="003399"/>
              <w:left w:val="single" w:sz="12" w:space="0" w:color="003399"/>
              <w:bottom w:val="single" w:sz="12" w:space="0" w:color="003399"/>
              <w:right w:val="single" w:sz="12" w:space="0" w:color="003399"/>
            </w:tcBorders>
          </w:tcPr>
          <w:p w14:paraId="5E057DD0" w14:textId="77777777" w:rsidR="00114660" w:rsidRPr="00252B12" w:rsidRDefault="00114660" w:rsidP="003C58C0">
            <w:pPr>
              <w:pStyle w:val="TableParagraph"/>
              <w:spacing w:line="360" w:lineRule="auto"/>
            </w:pPr>
            <w:r w:rsidRPr="00E210BD">
              <w:t>it leads to a significant increase in the emissions of pollutants into the air, water or land, as compared with the situation before the activity started</w:t>
            </w:r>
          </w:p>
        </w:tc>
        <w:tc>
          <w:tcPr>
            <w:tcW w:w="3780" w:type="dxa"/>
            <w:tcBorders>
              <w:top w:val="single" w:sz="12" w:space="0" w:color="003399"/>
              <w:left w:val="single" w:sz="12" w:space="0" w:color="003399"/>
              <w:bottom w:val="single" w:sz="12" w:space="0" w:color="003399"/>
              <w:right w:val="single" w:sz="12" w:space="0" w:color="003399"/>
            </w:tcBorders>
          </w:tcPr>
          <w:p w14:paraId="13B8851C" w14:textId="77777777" w:rsidR="00114660" w:rsidRPr="00252B12" w:rsidRDefault="00114660" w:rsidP="003C58C0">
            <w:pPr>
              <w:pStyle w:val="TableParagraph"/>
              <w:spacing w:line="360" w:lineRule="auto"/>
            </w:pPr>
            <w:r w:rsidRPr="00252B12">
              <w:t>pollution prevention and</w:t>
            </w:r>
            <w:r>
              <w:t xml:space="preserve"> </w:t>
            </w:r>
            <w:r w:rsidRPr="00252B12">
              <w:t>control</w:t>
            </w:r>
          </w:p>
        </w:tc>
      </w:tr>
      <w:tr w:rsidR="00114660" w:rsidRPr="00805C22" w14:paraId="0F9BEF2F" w14:textId="77777777" w:rsidTr="00114660">
        <w:trPr>
          <w:trHeight w:val="1736"/>
        </w:trPr>
        <w:tc>
          <w:tcPr>
            <w:tcW w:w="572" w:type="dxa"/>
            <w:tcBorders>
              <w:top w:val="single" w:sz="12" w:space="0" w:color="003399"/>
              <w:left w:val="single" w:sz="12" w:space="0" w:color="003399"/>
              <w:bottom w:val="single" w:sz="12" w:space="0" w:color="003399"/>
              <w:right w:val="single" w:sz="12" w:space="0" w:color="003399"/>
            </w:tcBorders>
          </w:tcPr>
          <w:p w14:paraId="62559B9D" w14:textId="77777777" w:rsidR="00114660" w:rsidRPr="00D6511C" w:rsidRDefault="00114660" w:rsidP="003C58C0">
            <w:pPr>
              <w:pStyle w:val="TableParagraph"/>
              <w:spacing w:line="360" w:lineRule="auto"/>
              <w:rPr>
                <w:color w:val="323232"/>
                <w:w w:val="102"/>
                <w:sz w:val="18"/>
              </w:rPr>
            </w:pPr>
            <w:r w:rsidRPr="001060E6">
              <w:t>6</w:t>
            </w:r>
          </w:p>
        </w:tc>
        <w:tc>
          <w:tcPr>
            <w:tcW w:w="4723" w:type="dxa"/>
            <w:tcBorders>
              <w:top w:val="single" w:sz="12" w:space="0" w:color="003399"/>
              <w:left w:val="single" w:sz="12" w:space="0" w:color="003399"/>
              <w:bottom w:val="single" w:sz="12" w:space="0" w:color="003399"/>
              <w:right w:val="single" w:sz="12" w:space="0" w:color="003399"/>
            </w:tcBorders>
          </w:tcPr>
          <w:p w14:paraId="093FC90E" w14:textId="77777777" w:rsidR="00114660" w:rsidRPr="00E210BD" w:rsidRDefault="00114660" w:rsidP="003C58C0">
            <w:pPr>
              <w:pStyle w:val="TableParagraph"/>
              <w:numPr>
                <w:ilvl w:val="0"/>
                <w:numId w:val="35"/>
              </w:numPr>
              <w:spacing w:line="360" w:lineRule="auto"/>
            </w:pPr>
            <w:r w:rsidRPr="00E210BD">
              <w:t xml:space="preserve">it is significantly detrimental to the good condition and resilience of ecosystems; or </w:t>
            </w:r>
          </w:p>
          <w:p w14:paraId="6F10CA97" w14:textId="77777777" w:rsidR="00114660" w:rsidRPr="00252B12" w:rsidRDefault="00114660" w:rsidP="003C58C0">
            <w:pPr>
              <w:pStyle w:val="TableParagraph"/>
              <w:numPr>
                <w:ilvl w:val="0"/>
                <w:numId w:val="35"/>
              </w:numPr>
              <w:spacing w:line="360" w:lineRule="auto"/>
            </w:pPr>
            <w:r w:rsidRPr="00E210BD">
              <w:t>it is detrimental to the conservation status of habitats and species, including those of Union interest</w:t>
            </w:r>
          </w:p>
        </w:tc>
        <w:tc>
          <w:tcPr>
            <w:tcW w:w="3780" w:type="dxa"/>
            <w:tcBorders>
              <w:top w:val="single" w:sz="12" w:space="0" w:color="003399"/>
              <w:left w:val="single" w:sz="12" w:space="0" w:color="003399"/>
              <w:bottom w:val="single" w:sz="12" w:space="0" w:color="003399"/>
              <w:right w:val="single" w:sz="12" w:space="0" w:color="003399"/>
            </w:tcBorders>
          </w:tcPr>
          <w:p w14:paraId="7238FF02" w14:textId="77777777" w:rsidR="00114660" w:rsidRPr="00252B12" w:rsidRDefault="00114660" w:rsidP="003C58C0">
            <w:pPr>
              <w:pStyle w:val="TableParagraph"/>
              <w:spacing w:line="360" w:lineRule="auto"/>
            </w:pPr>
            <w:r w:rsidRPr="00252B12">
              <w:t>the protection and restoration of biodiversity and ecosystems</w:t>
            </w:r>
          </w:p>
        </w:tc>
      </w:tr>
    </w:tbl>
    <w:p w14:paraId="00E0BD81" w14:textId="77777777" w:rsidR="00114660" w:rsidRDefault="00114660" w:rsidP="003C58C0">
      <w:pPr>
        <w:spacing w:line="360" w:lineRule="auto"/>
      </w:pPr>
    </w:p>
    <w:p w14:paraId="02809B3C" w14:textId="77777777" w:rsidR="00114660" w:rsidRDefault="00114660" w:rsidP="003C58C0">
      <w:pPr>
        <w:spacing w:line="360" w:lineRule="auto"/>
      </w:pPr>
    </w:p>
    <w:p w14:paraId="1D8B6712" w14:textId="2AE724B5" w:rsidR="00EC604B" w:rsidRPr="000E5956" w:rsidRDefault="00EC604B" w:rsidP="003C58C0">
      <w:pPr>
        <w:spacing w:line="360" w:lineRule="auto"/>
        <w:rPr>
          <w:rFonts w:ascii="Open Sans SemiBold" w:eastAsia="Open Sans SemiBold" w:hAnsi="Open Sans SemiBold" w:cs="Open Sans SemiBold"/>
          <w:bCs/>
          <w:color w:val="003399"/>
          <w:szCs w:val="24"/>
        </w:rPr>
      </w:pPr>
      <w:r w:rsidRPr="000E5956">
        <w:rPr>
          <w:rFonts w:ascii="Open Sans SemiBold" w:eastAsia="Open Sans SemiBold" w:hAnsi="Open Sans SemiBold" w:cs="Open Sans SemiBold"/>
          <w:bCs/>
          <w:color w:val="003399"/>
          <w:szCs w:val="24"/>
        </w:rPr>
        <w:t xml:space="preserve">Application of the sustainable development principle and the </w:t>
      </w:r>
      <w:r w:rsidR="00F02972" w:rsidRPr="000E5956">
        <w:rPr>
          <w:rFonts w:ascii="Open Sans SemiBold" w:eastAsia="Open Sans SemiBold" w:hAnsi="Open Sans SemiBold" w:cs="Open Sans SemiBold"/>
          <w:bCs/>
          <w:color w:val="003399"/>
          <w:szCs w:val="24"/>
        </w:rPr>
        <w:t>‘</w:t>
      </w:r>
      <w:r w:rsidRPr="000E5956">
        <w:rPr>
          <w:rFonts w:ascii="Open Sans SemiBold" w:eastAsia="Open Sans SemiBold" w:hAnsi="Open Sans SemiBold" w:cs="Open Sans SemiBold"/>
          <w:bCs/>
          <w:color w:val="003399"/>
          <w:szCs w:val="24"/>
        </w:rPr>
        <w:t xml:space="preserve">do no significant </w:t>
      </w:r>
      <w:r w:rsidR="000E5956" w:rsidRPr="000E5956">
        <w:rPr>
          <w:rFonts w:ascii="Open Sans SemiBold" w:eastAsia="Open Sans SemiBold" w:hAnsi="Open Sans SemiBold" w:cs="Open Sans SemiBold"/>
          <w:bCs/>
          <w:color w:val="003399"/>
          <w:szCs w:val="24"/>
        </w:rPr>
        <w:t>harm‘</w:t>
      </w:r>
      <w:r w:rsidR="000E5956">
        <w:rPr>
          <w:rFonts w:ascii="Open Sans SemiBold" w:eastAsia="Open Sans SemiBold" w:hAnsi="Open Sans SemiBold" w:cs="Open Sans SemiBold"/>
          <w:bCs/>
          <w:color w:val="003399"/>
          <w:szCs w:val="24"/>
        </w:rPr>
        <w:t xml:space="preserve"> principle</w:t>
      </w:r>
      <w:r w:rsidRPr="000E5956">
        <w:rPr>
          <w:rFonts w:ascii="Open Sans SemiBold" w:eastAsia="Open Sans SemiBold" w:hAnsi="Open Sans SemiBold" w:cs="Open Sans SemiBold"/>
          <w:bCs/>
          <w:color w:val="003399"/>
          <w:szCs w:val="24"/>
        </w:rPr>
        <w:t xml:space="preserve"> within the Programme</w:t>
      </w:r>
      <w:r w:rsidR="002E137F" w:rsidRPr="000E5956">
        <w:rPr>
          <w:rFonts w:ascii="Open Sans SemiBold" w:eastAsia="Open Sans SemiBold" w:hAnsi="Open Sans SemiBold" w:cs="Open Sans SemiBold"/>
          <w:bCs/>
          <w:color w:val="003399"/>
          <w:szCs w:val="24"/>
        </w:rPr>
        <w:t>.</w:t>
      </w:r>
    </w:p>
    <w:p w14:paraId="07FDE806" w14:textId="0077ECEE" w:rsidR="00EC604B" w:rsidRPr="00D6511C" w:rsidRDefault="00EC604B" w:rsidP="003C58C0">
      <w:pPr>
        <w:spacing w:line="360" w:lineRule="auto"/>
      </w:pPr>
      <w:r w:rsidRPr="00D6511C">
        <w:t xml:space="preserve">Support may be provided only to such projects that respect the sustainable development principle (including the </w:t>
      </w:r>
      <w:r w:rsidR="00F02972" w:rsidRPr="00D6511C">
        <w:t>‘</w:t>
      </w:r>
      <w:r w:rsidRPr="00D6511C">
        <w:t>do no significant harm</w:t>
      </w:r>
      <w:r w:rsidR="00F02972" w:rsidRPr="00D6511C">
        <w:t>‘</w:t>
      </w:r>
      <w:r w:rsidR="006E0C82" w:rsidRPr="00D6511C">
        <w:t xml:space="preserve"> </w:t>
      </w:r>
      <w:r w:rsidRPr="00D6511C">
        <w:t>principle). The way the sustainable development principle is included in a project should be logically linked with the project</w:t>
      </w:r>
      <w:r w:rsidR="00580541" w:rsidRPr="00D6511C">
        <w:t>’</w:t>
      </w:r>
      <w:r w:rsidRPr="00D6511C">
        <w:t>s objectives, results</w:t>
      </w:r>
      <w:r w:rsidR="00B57546" w:rsidRPr="00D6511C">
        <w:t>,</w:t>
      </w:r>
      <w:r w:rsidRPr="00D6511C">
        <w:t xml:space="preserve"> and activities. It is important that the Application Form includes not only a declaration of respecting the principle, but also a </w:t>
      </w:r>
      <w:r w:rsidR="00DC4ED8" w:rsidRPr="00D6511C">
        <w:t>description of</w:t>
      </w:r>
      <w:r w:rsidRPr="00D6511C">
        <w:t xml:space="preserve"> how it is implemented in the project.</w:t>
      </w:r>
    </w:p>
    <w:p w14:paraId="32BAD06C" w14:textId="77777777" w:rsidR="00EC604B" w:rsidRPr="00D6511C" w:rsidRDefault="00EC604B" w:rsidP="003C58C0">
      <w:pPr>
        <w:spacing w:line="360" w:lineRule="auto"/>
      </w:pPr>
      <w:r w:rsidRPr="00D6511C">
        <w:t xml:space="preserve">The principle of sustainable development should be implemented at all stages of project implementation: </w:t>
      </w:r>
    </w:p>
    <w:p w14:paraId="51FBFCE0" w14:textId="5151803F" w:rsidR="004C4776" w:rsidRPr="00D6511C" w:rsidRDefault="00140795" w:rsidP="003C58C0">
      <w:pPr>
        <w:pStyle w:val="ListParagraph"/>
        <w:numPr>
          <w:ilvl w:val="0"/>
          <w:numId w:val="36"/>
        </w:numPr>
        <w:spacing w:line="360" w:lineRule="auto"/>
      </w:pPr>
      <w:r>
        <w:rPr>
          <w:rFonts w:ascii="Segoe UI" w:hAnsi="Segoe UI" w:cs="Segoe UI"/>
          <w:lang w:val="en-GB"/>
        </w:rPr>
        <w:lastRenderedPageBreak/>
        <w:t>P</w:t>
      </w:r>
      <w:r w:rsidR="00EC604B" w:rsidRPr="00D6511C">
        <w:t>reparation: at this stage, it is important to analyse alternative solutions, i.e.</w:t>
      </w:r>
      <w:r w:rsidR="004C4776" w:rsidRPr="00D6511C">
        <w:t>,</w:t>
      </w:r>
      <w:r w:rsidR="00EC604B" w:rsidRPr="00D6511C">
        <w:t xml:space="preserve"> other ways of implementing the project (e.g.</w:t>
      </w:r>
      <w:r w:rsidR="00967D0D" w:rsidRPr="00D6511C">
        <w:t>,</w:t>
      </w:r>
      <w:r w:rsidR="00EC604B" w:rsidRPr="00D6511C">
        <w:t xml:space="preserve"> selection of other activities), </w:t>
      </w:r>
      <w:r w:rsidR="00B7310E" w:rsidRPr="00D6511C">
        <w:t>to</w:t>
      </w:r>
      <w:r w:rsidR="00EC604B" w:rsidRPr="00D6511C">
        <w:t xml:space="preserve"> choose </w:t>
      </w:r>
      <w:r w:rsidR="00064553" w:rsidRPr="00D6511C">
        <w:t xml:space="preserve">the </w:t>
      </w:r>
      <w:r w:rsidR="00EC604B" w:rsidRPr="00D6511C">
        <w:t>one that is the most advantageous in terms of the principle of sustainable development. All potentially relevant environmental and health issues should be identified and considered during preparation of the project</w:t>
      </w:r>
      <w:r>
        <w:t>.</w:t>
      </w:r>
    </w:p>
    <w:p w14:paraId="58ADD23C" w14:textId="5B229934" w:rsidR="004C4776" w:rsidRPr="00D6511C" w:rsidRDefault="00140795" w:rsidP="003C58C0">
      <w:pPr>
        <w:pStyle w:val="ListParagraph"/>
        <w:numPr>
          <w:ilvl w:val="0"/>
          <w:numId w:val="36"/>
        </w:numPr>
        <w:spacing w:line="360" w:lineRule="auto"/>
      </w:pPr>
      <w:r>
        <w:t>I</w:t>
      </w:r>
      <w:r w:rsidR="00EC604B" w:rsidRPr="00D6511C">
        <w:t>mplementation: all project activities shall respect the principle in question, including e.g.</w:t>
      </w:r>
      <w:r w:rsidR="004C4776" w:rsidRPr="00D6511C">
        <w:t>,</w:t>
      </w:r>
      <w:r w:rsidR="00EC604B" w:rsidRPr="00D6511C">
        <w:t xml:space="preserve"> promotional activities</w:t>
      </w:r>
      <w:r>
        <w:t>.</w:t>
      </w:r>
    </w:p>
    <w:p w14:paraId="3B06D53F" w14:textId="42396B71" w:rsidR="00EC604B" w:rsidRPr="00D6511C" w:rsidRDefault="00140795" w:rsidP="003C58C0">
      <w:pPr>
        <w:pStyle w:val="ListParagraph"/>
        <w:numPr>
          <w:ilvl w:val="0"/>
          <w:numId w:val="36"/>
        </w:numPr>
        <w:spacing w:line="360" w:lineRule="auto"/>
      </w:pPr>
      <w:r>
        <w:t>C</w:t>
      </w:r>
      <w:r w:rsidR="00EC604B" w:rsidRPr="00D6511C">
        <w:t xml:space="preserve">ompletion: the project outputs and results shall be used in accordance with the principle. </w:t>
      </w:r>
    </w:p>
    <w:p w14:paraId="153D0776" w14:textId="48B9B10D" w:rsidR="008B65B5" w:rsidRPr="00D6511C" w:rsidRDefault="00EC604B" w:rsidP="003C58C0">
      <w:pPr>
        <w:spacing w:line="360" w:lineRule="auto"/>
      </w:pPr>
      <w:bookmarkStart w:id="19" w:name="_Hlk116997886"/>
      <w:r w:rsidRPr="00D6511C">
        <w:t>For projects involving an element of investments in infrastructure, the principle of sustainable development is particularly important and imposes additional requirements</w:t>
      </w:r>
      <w:r w:rsidR="008B65B5" w:rsidRPr="00D6511C">
        <w:t>.</w:t>
      </w:r>
    </w:p>
    <w:p w14:paraId="102FA1FD" w14:textId="3D1D3D97" w:rsidR="00EC604B" w:rsidRPr="00D6511C" w:rsidRDefault="008B65B5" w:rsidP="003C58C0">
      <w:pPr>
        <w:spacing w:line="360" w:lineRule="auto"/>
      </w:pPr>
      <w:r w:rsidRPr="00D6511C">
        <w:t xml:space="preserve">These additional requirements are stipulated in Article 22(4)e of the Interreg </w:t>
      </w:r>
      <w:r w:rsidR="0006413E" w:rsidRPr="00D6511C">
        <w:t>Regulation and</w:t>
      </w:r>
      <w:r w:rsidRPr="00D6511C">
        <w:t xml:space="preserve"> should be met by projects with infrastructure and investment components. More information can be found on the </w:t>
      </w:r>
      <w:hyperlink r:id="rId18" w:history="1">
        <w:r w:rsidRPr="00DC4ED8">
          <w:rPr>
            <w:rFonts w:ascii="Open Sans ExtraBold"/>
            <w:b/>
            <w:color w:val="003399"/>
            <w:spacing w:val="-2"/>
          </w:rPr>
          <w:t>Programme website</w:t>
        </w:r>
        <w:r w:rsidR="00EC604B" w:rsidRPr="00DC4ED8">
          <w:rPr>
            <w:rFonts w:ascii="Open Sans ExtraBold"/>
            <w:b/>
            <w:color w:val="003399"/>
            <w:spacing w:val="-2"/>
          </w:rPr>
          <w:t>.</w:t>
        </w:r>
      </w:hyperlink>
      <w:r w:rsidR="00EC604B" w:rsidRPr="00D6511C">
        <w:t xml:space="preserve"> </w:t>
      </w:r>
    </w:p>
    <w:bookmarkEnd w:id="19"/>
    <w:p w14:paraId="0E66210F" w14:textId="6837E167" w:rsidR="00EC604B" w:rsidRPr="00D6511C" w:rsidRDefault="0006413E" w:rsidP="003C58C0">
      <w:pPr>
        <w:spacing w:line="360" w:lineRule="auto"/>
      </w:pPr>
      <w:r w:rsidRPr="00D6511C">
        <w:t>In some cases, relevant for projects with infrastructure components</w:t>
      </w:r>
      <w:r w:rsidR="00EC604B" w:rsidRPr="00D6511C">
        <w:t xml:space="preserve">, </w:t>
      </w:r>
      <w:r w:rsidRPr="00D6511C">
        <w:t xml:space="preserve">the </w:t>
      </w:r>
      <w:r w:rsidR="00EC604B" w:rsidRPr="00D6511C">
        <w:t>climate change impacts</w:t>
      </w:r>
      <w:r w:rsidRPr="00D6511C">
        <w:t xml:space="preserve"> should be taken</w:t>
      </w:r>
      <w:r w:rsidR="00EC604B" w:rsidRPr="00D6511C">
        <w:t xml:space="preserve"> into </w:t>
      </w:r>
      <w:r w:rsidRPr="00D6511C">
        <w:t xml:space="preserve">account in accordance with the </w:t>
      </w:r>
      <w:r w:rsidR="00F02972" w:rsidRPr="00D6511C">
        <w:t>‘</w:t>
      </w:r>
      <w:r w:rsidR="00EC604B" w:rsidRPr="00D6511C">
        <w:t>Technical guidance on the climate proofing of infrastructure in the period 2021</w:t>
      </w:r>
      <w:r w:rsidR="006910EC" w:rsidRPr="00D6511C">
        <w:t>–</w:t>
      </w:r>
      <w:r w:rsidR="00EC604B" w:rsidRPr="00D6511C">
        <w:t>2027</w:t>
      </w:r>
      <w:r w:rsidR="00F02972" w:rsidRPr="00D6511C">
        <w:t>‘</w:t>
      </w:r>
      <w:r w:rsidR="00EC604B" w:rsidRPr="00D6511C">
        <w:t xml:space="preserve"> (2021/C 373/01) issued by the European Commission</w:t>
      </w:r>
      <w:r w:rsidRPr="00D6511C">
        <w:t>.</w:t>
      </w:r>
      <w:r w:rsidR="00EC604B" w:rsidRPr="00D6511C">
        <w:t xml:space="preserve"> </w:t>
      </w:r>
    </w:p>
    <w:p w14:paraId="7F0EEE20" w14:textId="5DA85EE9" w:rsidR="00EC604B" w:rsidRPr="00D6511C" w:rsidRDefault="00EC604B" w:rsidP="003C58C0">
      <w:pPr>
        <w:spacing w:line="360" w:lineRule="auto"/>
      </w:pPr>
      <w:r w:rsidRPr="00D6511C">
        <w:t xml:space="preserve">Examples of activities that </w:t>
      </w:r>
      <w:r w:rsidR="006D5D7B" w:rsidRPr="00D6511C">
        <w:t>the</w:t>
      </w:r>
      <w:r w:rsidRPr="00D6511C">
        <w:t xml:space="preserve"> inclusion of sustainable development principle in planned projects include:</w:t>
      </w:r>
    </w:p>
    <w:p w14:paraId="7AD22BDF" w14:textId="73E0B89A" w:rsidR="00EC604B" w:rsidRPr="00DC4ED8" w:rsidRDefault="007628D4" w:rsidP="003C58C0">
      <w:pPr>
        <w:pStyle w:val="ListParagraph"/>
        <w:numPr>
          <w:ilvl w:val="0"/>
          <w:numId w:val="20"/>
        </w:numPr>
        <w:spacing w:line="360" w:lineRule="auto"/>
      </w:pPr>
      <w:r>
        <w:t>E</w:t>
      </w:r>
      <w:r w:rsidR="006D5D7B" w:rsidRPr="00DC4ED8">
        <w:t>fficient management of resources</w:t>
      </w:r>
      <w:r w:rsidR="00EC604B" w:rsidRPr="00DC4ED8">
        <w:t xml:space="preserve"> (e.g.</w:t>
      </w:r>
      <w:r w:rsidR="002E137F" w:rsidRPr="00DC4ED8">
        <w:t xml:space="preserve">, </w:t>
      </w:r>
      <w:r w:rsidR="00EC604B" w:rsidRPr="00DC4ED8">
        <w:t>energy, water)</w:t>
      </w:r>
      <w:r w:rsidR="00470538">
        <w:t>.</w:t>
      </w:r>
    </w:p>
    <w:p w14:paraId="6BE9F9BA" w14:textId="0F16E721" w:rsidR="00EC604B" w:rsidRPr="00DC4ED8" w:rsidRDefault="007628D4" w:rsidP="003C58C0">
      <w:pPr>
        <w:pStyle w:val="ListParagraph"/>
        <w:numPr>
          <w:ilvl w:val="0"/>
          <w:numId w:val="20"/>
        </w:numPr>
        <w:spacing w:line="360" w:lineRule="auto"/>
      </w:pPr>
      <w:r>
        <w:t>U</w:t>
      </w:r>
      <w:r w:rsidR="00EC604B" w:rsidRPr="00DC4ED8">
        <w:t xml:space="preserve">se of fully recyclable materials and </w:t>
      </w:r>
      <w:r w:rsidR="009C7D1D" w:rsidRPr="00DC4ED8">
        <w:t>environmentally friendly</w:t>
      </w:r>
      <w:r w:rsidR="00EC604B" w:rsidRPr="00DC4ED8">
        <w:t xml:space="preserve"> technologies</w:t>
      </w:r>
      <w:r w:rsidR="00470538">
        <w:t>.</w:t>
      </w:r>
    </w:p>
    <w:p w14:paraId="0A1E4E2F" w14:textId="18768AE9" w:rsidR="00EC604B" w:rsidRPr="00DC4ED8" w:rsidRDefault="007628D4" w:rsidP="003C58C0">
      <w:pPr>
        <w:pStyle w:val="ListParagraph"/>
        <w:numPr>
          <w:ilvl w:val="0"/>
          <w:numId w:val="20"/>
        </w:numPr>
        <w:spacing w:line="360" w:lineRule="auto"/>
      </w:pPr>
      <w:r>
        <w:t>W</w:t>
      </w:r>
      <w:r w:rsidR="00EC604B" w:rsidRPr="00DC4ED8">
        <w:t xml:space="preserve">aste </w:t>
      </w:r>
      <w:r w:rsidR="00470538">
        <w:t>minimization.</w:t>
      </w:r>
    </w:p>
    <w:p w14:paraId="47AA0D0F" w14:textId="3C9DCD3C" w:rsidR="00EC604B" w:rsidRPr="00DC4ED8" w:rsidRDefault="007628D4" w:rsidP="003C58C0">
      <w:pPr>
        <w:pStyle w:val="ListParagraph"/>
        <w:numPr>
          <w:ilvl w:val="0"/>
          <w:numId w:val="20"/>
        </w:numPr>
        <w:spacing w:line="360" w:lineRule="auto"/>
      </w:pPr>
      <w:r>
        <w:lastRenderedPageBreak/>
        <w:t>T</w:t>
      </w:r>
      <w:r w:rsidR="00EC604B" w:rsidRPr="00DC4ED8">
        <w:t>aking environmental issues into account when developing and purchasing technologies</w:t>
      </w:r>
      <w:r w:rsidR="00470538">
        <w:t>.</w:t>
      </w:r>
    </w:p>
    <w:p w14:paraId="61C3C3D3" w14:textId="656F2C95" w:rsidR="00EC604B" w:rsidRPr="00DC4ED8" w:rsidRDefault="007628D4" w:rsidP="003C58C0">
      <w:pPr>
        <w:pStyle w:val="ListParagraph"/>
        <w:numPr>
          <w:ilvl w:val="0"/>
          <w:numId w:val="20"/>
        </w:numPr>
        <w:spacing w:line="360" w:lineRule="auto"/>
      </w:pPr>
      <w:r>
        <w:t>S</w:t>
      </w:r>
      <w:r w:rsidR="00EC604B" w:rsidRPr="00DC4ED8">
        <w:t xml:space="preserve">electing venues for the meetings that can be reached by means of public </w:t>
      </w:r>
      <w:r w:rsidR="00755377" w:rsidRPr="00DC4ED8">
        <w:t>transport and</w:t>
      </w:r>
      <w:r w:rsidR="00EC604B" w:rsidRPr="00DC4ED8">
        <w:t xml:space="preserve"> communicating this in the invitation</w:t>
      </w:r>
      <w:r w:rsidR="00470538">
        <w:t>.</w:t>
      </w:r>
    </w:p>
    <w:p w14:paraId="2E3C6B84" w14:textId="7B75ACD5" w:rsidR="00EC604B" w:rsidRPr="00DC4ED8" w:rsidRDefault="007628D4" w:rsidP="003C58C0">
      <w:pPr>
        <w:pStyle w:val="ListParagraph"/>
        <w:numPr>
          <w:ilvl w:val="0"/>
          <w:numId w:val="20"/>
        </w:numPr>
        <w:spacing w:line="360" w:lineRule="auto"/>
      </w:pPr>
      <w:r>
        <w:t>W</w:t>
      </w:r>
      <w:r w:rsidR="00EC604B" w:rsidRPr="00DC4ED8">
        <w:t>hen organising events, selecting venues that care for environment protection, pursue corporate social responsibility and sustainable development strategies (with relevant certificates), including venues where:</w:t>
      </w:r>
    </w:p>
    <w:p w14:paraId="4C699BFB" w14:textId="3AD8B36A" w:rsidR="007628D4" w:rsidRDefault="007628D4" w:rsidP="003C58C0">
      <w:pPr>
        <w:pStyle w:val="ListParagraph"/>
        <w:numPr>
          <w:ilvl w:val="0"/>
          <w:numId w:val="86"/>
        </w:numPr>
        <w:spacing w:line="360" w:lineRule="auto"/>
      </w:pPr>
      <w:r>
        <w:t>a</w:t>
      </w:r>
      <w:r w:rsidR="00EC604B" w:rsidRPr="00DC4ED8">
        <w:t>ccess for persons with disabilities is ensured</w:t>
      </w:r>
      <w:r w:rsidR="00470538">
        <w:t>,</w:t>
      </w:r>
    </w:p>
    <w:p w14:paraId="1A2CB189" w14:textId="2667B9AF" w:rsidR="007628D4" w:rsidRDefault="007628D4" w:rsidP="003C58C0">
      <w:pPr>
        <w:pStyle w:val="ListParagraph"/>
        <w:numPr>
          <w:ilvl w:val="0"/>
          <w:numId w:val="86"/>
        </w:numPr>
        <w:spacing w:line="360" w:lineRule="auto"/>
      </w:pPr>
      <w:r>
        <w:t>w</w:t>
      </w:r>
      <w:r w:rsidR="00EC604B" w:rsidRPr="007628D4">
        <w:t>aste segregation is conducted</w:t>
      </w:r>
      <w:r w:rsidR="00470538">
        <w:t>,</w:t>
      </w:r>
    </w:p>
    <w:p w14:paraId="76AB3539" w14:textId="744B2FAF" w:rsidR="007628D4" w:rsidRDefault="007628D4" w:rsidP="003C58C0">
      <w:pPr>
        <w:pStyle w:val="ListParagraph"/>
        <w:numPr>
          <w:ilvl w:val="0"/>
          <w:numId w:val="86"/>
        </w:numPr>
        <w:spacing w:line="360" w:lineRule="auto"/>
      </w:pPr>
      <w:r>
        <w:t>e</w:t>
      </w:r>
      <w:r w:rsidR="00EC604B" w:rsidRPr="007628D4">
        <w:t>nergy efficiency measures have been put in place</w:t>
      </w:r>
      <w:r w:rsidR="00470538">
        <w:t>,</w:t>
      </w:r>
    </w:p>
    <w:p w14:paraId="51478A92" w14:textId="037146DC" w:rsidR="00EC604B" w:rsidRPr="007628D4" w:rsidRDefault="007628D4" w:rsidP="003C58C0">
      <w:pPr>
        <w:pStyle w:val="ListParagraph"/>
        <w:numPr>
          <w:ilvl w:val="0"/>
          <w:numId w:val="86"/>
        </w:numPr>
        <w:spacing w:line="360" w:lineRule="auto"/>
      </w:pPr>
      <w:r>
        <w:t>e</w:t>
      </w:r>
      <w:r w:rsidR="00EC604B" w:rsidRPr="007628D4">
        <w:t>nergy-efficient equipment and installations are provided</w:t>
      </w:r>
      <w:r w:rsidR="00470538">
        <w:t>.</w:t>
      </w:r>
    </w:p>
    <w:p w14:paraId="409BD3AA" w14:textId="6F7B970E" w:rsidR="00EC604B" w:rsidRPr="00DC4ED8" w:rsidRDefault="007628D4" w:rsidP="003C58C0">
      <w:pPr>
        <w:pStyle w:val="ListParagraph"/>
        <w:numPr>
          <w:ilvl w:val="0"/>
          <w:numId w:val="20"/>
        </w:numPr>
        <w:spacing w:line="360" w:lineRule="auto"/>
      </w:pPr>
      <w:r>
        <w:t>M</w:t>
      </w:r>
      <w:r w:rsidR="00EC604B" w:rsidRPr="00DC4ED8">
        <w:t>inimising the quantity of printed materials (i.e.</w:t>
      </w:r>
      <w:r w:rsidR="006E1A31" w:rsidRPr="00DC4ED8">
        <w:t>,</w:t>
      </w:r>
      <w:r w:rsidR="00EC604B" w:rsidRPr="00DC4ED8">
        <w:t xml:space="preserve"> by using double-sided printing, toner saving mode, recycled paper), and electronic form is preferred</w:t>
      </w:r>
      <w:r w:rsidR="00AA1FB7">
        <w:t>.</w:t>
      </w:r>
    </w:p>
    <w:p w14:paraId="3513E551" w14:textId="735EE79F" w:rsidR="00EC604B" w:rsidRPr="00DC4ED8" w:rsidRDefault="007628D4" w:rsidP="003C58C0">
      <w:pPr>
        <w:pStyle w:val="ListParagraph"/>
        <w:numPr>
          <w:ilvl w:val="0"/>
          <w:numId w:val="20"/>
        </w:numPr>
        <w:spacing w:line="360" w:lineRule="auto"/>
      </w:pPr>
      <w:r>
        <w:t>C</w:t>
      </w:r>
      <w:r w:rsidR="00EC604B" w:rsidRPr="00DC4ED8">
        <w:t xml:space="preserve">atering service which uses local, seasonal, </w:t>
      </w:r>
      <w:r w:rsidR="002E137F" w:rsidRPr="00DC4ED8">
        <w:t>organic,</w:t>
      </w:r>
      <w:r w:rsidR="00EC604B" w:rsidRPr="00DC4ED8">
        <w:t xml:space="preserve"> and </w:t>
      </w:r>
      <w:r w:rsidR="006E1A31" w:rsidRPr="00DC4ED8">
        <w:t>fair-trade</w:t>
      </w:r>
      <w:r w:rsidR="00EC604B" w:rsidRPr="00DC4ED8">
        <w:t xml:space="preserve"> products, prepared by social economy entities (e.g.</w:t>
      </w:r>
      <w:r w:rsidR="006E1A31" w:rsidRPr="00DC4ED8">
        <w:t>,</w:t>
      </w:r>
      <w:r w:rsidR="00EC604B" w:rsidRPr="00DC4ED8">
        <w:t xml:space="preserve"> social co-operatives, sheltered workshops</w:t>
      </w:r>
      <w:r w:rsidR="00064553" w:rsidRPr="00DC4ED8">
        <w:t>,</w:t>
      </w:r>
      <w:r w:rsidR="00EC604B" w:rsidRPr="00DC4ED8">
        <w:t xml:space="preserve"> etc.) is preferred</w:t>
      </w:r>
      <w:r w:rsidR="00AA1FB7">
        <w:t>.</w:t>
      </w:r>
    </w:p>
    <w:p w14:paraId="575135FB" w14:textId="1AE8C290" w:rsidR="00EC604B" w:rsidRPr="00DC4ED8" w:rsidRDefault="007628D4" w:rsidP="003C58C0">
      <w:pPr>
        <w:pStyle w:val="ListParagraph"/>
        <w:numPr>
          <w:ilvl w:val="0"/>
          <w:numId w:val="20"/>
        </w:numPr>
        <w:spacing w:line="360" w:lineRule="auto"/>
      </w:pPr>
      <w:r>
        <w:t>R</w:t>
      </w:r>
      <w:r w:rsidR="00EC604B" w:rsidRPr="00DC4ED8">
        <w:t>aising ecological awareness</w:t>
      </w:r>
      <w:r w:rsidR="00AA1FB7">
        <w:t>.</w:t>
      </w:r>
    </w:p>
    <w:p w14:paraId="5918DF4B" w14:textId="42CA0784" w:rsidR="00DC4ED8" w:rsidRPr="00DC4ED8" w:rsidRDefault="007628D4" w:rsidP="003C58C0">
      <w:pPr>
        <w:pStyle w:val="ListParagraph"/>
        <w:numPr>
          <w:ilvl w:val="0"/>
          <w:numId w:val="20"/>
        </w:numPr>
        <w:spacing w:line="360" w:lineRule="auto"/>
      </w:pPr>
      <w:r>
        <w:t>U</w:t>
      </w:r>
      <w:r w:rsidR="00EC604B" w:rsidRPr="00DC4ED8">
        <w:t>sing sustainable modes of transport as much as possible (e.g.</w:t>
      </w:r>
      <w:r w:rsidR="004C4776" w:rsidRPr="00DC4ED8">
        <w:t>,</w:t>
      </w:r>
      <w:r w:rsidR="00EC604B" w:rsidRPr="00DC4ED8">
        <w:t xml:space="preserve"> railway instead of air transport), </w:t>
      </w:r>
      <w:r w:rsidR="00064553" w:rsidRPr="00DC4ED8">
        <w:t xml:space="preserve">and </w:t>
      </w:r>
      <w:r w:rsidR="00EC604B" w:rsidRPr="00DC4ED8">
        <w:t>using ways of interaction that do not require travelling whenever possible.</w:t>
      </w:r>
    </w:p>
    <w:p w14:paraId="17046518" w14:textId="7DD9906D" w:rsidR="00141E13" w:rsidRPr="00923152" w:rsidRDefault="003C58C0" w:rsidP="003C58C0">
      <w:pPr>
        <w:spacing w:line="360" w:lineRule="auto"/>
      </w:pPr>
      <w:r>
        <w:rPr>
          <w:noProof/>
        </w:rPr>
        <mc:AlternateContent>
          <mc:Choice Requires="wps">
            <w:drawing>
              <wp:inline distT="0" distB="0" distL="0" distR="0" wp14:anchorId="1E86AD4C" wp14:editId="2FB2EE4A">
                <wp:extent cx="5772785" cy="307975"/>
                <wp:effectExtent l="0" t="0" r="18415" b="15875"/>
                <wp:docPr id="13466888"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307975"/>
                        </a:xfrm>
                        <a:prstGeom prst="rect">
                          <a:avLst/>
                        </a:prstGeom>
                        <a:ln w="12700">
                          <a:solidFill>
                            <a:srgbClr val="003399"/>
                          </a:solidFill>
                          <a:prstDash val="solid"/>
                        </a:ln>
                      </wps:spPr>
                      <wps:txbx>
                        <w:txbxContent>
                          <w:p w14:paraId="6C7FCC9D"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The ‘do no significant harm‘ principle applies to all projects!</w:t>
                            </w:r>
                          </w:p>
                        </w:txbxContent>
                      </wps:txbx>
                      <wps:bodyPr wrap="square" lIns="0" tIns="0" rIns="0" bIns="0" rtlCol="0">
                        <a:noAutofit/>
                      </wps:bodyPr>
                    </wps:wsp>
                  </a:graphicData>
                </a:graphic>
              </wp:inline>
            </w:drawing>
          </mc:Choice>
          <mc:Fallback>
            <w:pict>
              <v:shape w14:anchorId="1E86AD4C" id="_x0000_s1031" type="#_x0000_t202" style="width:454.5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" filled="f" strokecolor="#039" strokeweight="1pt">
                <v:path arrowok="t"/>
                <v:textbox inset="0,0,0,0">
                  <w:txbxContent>
                    <w:p w14:paraId="6C7FCC9D" w14:textId="77777777" w:rsidR="003C58C0" w:rsidRPr="000E5956" w:rsidRDefault="003C58C0" w:rsidP="003C58C0">
                      <w:pPr>
                        <w:pStyle w:val="BodyText"/>
                        <w:rPr>
                          <w:rFonts w:ascii="Open Sans" w:eastAsiaTheme="minorHAnsi" w:hAnsi="Open Sans" w:cstheme="minorBidi"/>
                          <w:color w:val="auto"/>
                          <w:sz w:val="24"/>
                          <w:szCs w:val="22"/>
                          <w:lang w:eastAsia="en-US"/>
                        </w:rPr>
                      </w:pPr>
                      <w:r w:rsidRPr="000E5956">
                        <w:rPr>
                          <w:rFonts w:ascii="Open Sans" w:eastAsiaTheme="minorHAnsi" w:hAnsi="Open Sans" w:cstheme="minorBidi"/>
                          <w:color w:val="auto"/>
                          <w:sz w:val="24"/>
                          <w:szCs w:val="22"/>
                          <w:lang w:eastAsia="en-US"/>
                        </w:rPr>
                        <w:t>The ‘do no significant harm‘ principle applies to all projects!</w:t>
                      </w:r>
                    </w:p>
                  </w:txbxContent>
                </v:textbox>
                <w10:anchorlock/>
              </v:shape>
            </w:pict>
          </mc:Fallback>
        </mc:AlternateContent>
      </w:r>
    </w:p>
    <w:p w14:paraId="5328E2E9" w14:textId="58C1DC97" w:rsidR="00E32ABC" w:rsidRPr="00C412C8" w:rsidRDefault="00AE6BCF" w:rsidP="003C58C0">
      <w:pPr>
        <w:pStyle w:val="Heading2"/>
        <w:spacing w:line="360" w:lineRule="auto"/>
        <w:rPr>
          <w:bCs/>
        </w:rPr>
      </w:pPr>
      <w:bookmarkStart w:id="20" w:name="_Toc147242372"/>
      <w:r w:rsidRPr="00061A31">
        <w:t>5</w:t>
      </w:r>
      <w:r w:rsidR="00E41C3F" w:rsidRPr="00061A31">
        <w:t xml:space="preserve"> </w:t>
      </w:r>
      <w:r w:rsidR="007A42BC" w:rsidRPr="00061A31">
        <w:t>FINANCING OF THE SOUTH BALTIC PROGRAMME</w:t>
      </w:r>
      <w:bookmarkEnd w:id="20"/>
    </w:p>
    <w:p w14:paraId="6752E0B0" w14:textId="0DE6244C" w:rsidR="00AB2131" w:rsidRPr="00DC4ED8" w:rsidRDefault="00AB2131" w:rsidP="003C58C0">
      <w:pPr>
        <w:spacing w:line="360" w:lineRule="auto"/>
      </w:pPr>
      <w:r w:rsidRPr="00DC4ED8">
        <w:t xml:space="preserve">The South Baltic Programme is co-financed by the European Regional Development Fund (ERDF). The remainder of the Programme budget is covered </w:t>
      </w:r>
      <w:r w:rsidRPr="00DC4ED8">
        <w:lastRenderedPageBreak/>
        <w:t xml:space="preserve">by the financial resources of the participating Partners, </w:t>
      </w:r>
      <w:r w:rsidR="009F051E" w:rsidRPr="00DC4ED8">
        <w:t xml:space="preserve">which </w:t>
      </w:r>
      <w:r w:rsidRPr="00DC4ED8">
        <w:t xml:space="preserve">is known as an </w:t>
      </w:r>
      <w:r w:rsidR="00F02972" w:rsidRPr="00DC4ED8">
        <w:t>‘</w:t>
      </w:r>
      <w:r w:rsidRPr="00DC4ED8">
        <w:t>own contribution</w:t>
      </w:r>
      <w:r w:rsidR="00F02972" w:rsidRPr="00DC4ED8">
        <w:t>‘</w:t>
      </w:r>
      <w:r w:rsidRPr="00DC4ED8">
        <w:t xml:space="preserve">. </w:t>
      </w:r>
    </w:p>
    <w:p w14:paraId="2B666780" w14:textId="0370B223" w:rsidR="00DC4ED8" w:rsidRDefault="00AB2131" w:rsidP="003C58C0">
      <w:pPr>
        <w:spacing w:line="360" w:lineRule="auto"/>
      </w:pPr>
      <w:r w:rsidRPr="00DC4ED8">
        <w:t>The total ERDF funding allocated to the South Baltic Programme for the period 20</w:t>
      </w:r>
      <w:r w:rsidR="00EE49DE" w:rsidRPr="00DC4ED8">
        <w:t>21</w:t>
      </w:r>
      <w:r w:rsidR="006910EC" w:rsidRPr="00DC4ED8">
        <w:t>–</w:t>
      </w:r>
      <w:r w:rsidRPr="00DC4ED8">
        <w:t>202</w:t>
      </w:r>
      <w:r w:rsidR="00EE49DE" w:rsidRPr="00DC4ED8">
        <w:t>7</w:t>
      </w:r>
      <w:r w:rsidRPr="00DC4ED8">
        <w:t xml:space="preserve"> is EUR </w:t>
      </w:r>
      <w:r w:rsidR="00B62409" w:rsidRPr="00DC4ED8">
        <w:t>85</w:t>
      </w:r>
      <w:r w:rsidR="006910EC" w:rsidRPr="00DC4ED8">
        <w:t>.</w:t>
      </w:r>
      <w:r w:rsidR="00B62409" w:rsidRPr="00DC4ED8">
        <w:t xml:space="preserve">5 </w:t>
      </w:r>
      <w:r w:rsidRPr="00DC4ED8">
        <w:t>million.</w:t>
      </w:r>
    </w:p>
    <w:p w14:paraId="2EFCAEB2" w14:textId="445D7491" w:rsidR="00177E82" w:rsidRDefault="00177E82" w:rsidP="003C58C0">
      <w:pPr>
        <w:spacing w:line="360" w:lineRule="auto"/>
      </w:pPr>
      <w:r>
        <w:t>The ERDF is divided between four Programme priorities as presented in the table below.</w:t>
      </w:r>
    </w:p>
    <w:tbl>
      <w:tblPr>
        <w:tblStyle w:val="TableNormal1"/>
        <w:tblpPr w:leftFromText="180" w:rightFromText="180" w:vertAnchor="text" w:horzAnchor="margin" w:tblpYSpec="top"/>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Pr>
      <w:tblGrid>
        <w:gridCol w:w="4395"/>
        <w:gridCol w:w="2070"/>
        <w:gridCol w:w="2610"/>
      </w:tblGrid>
      <w:tr w:rsidR="00B32D47" w:rsidRPr="00805C22" w14:paraId="0B6E12A5" w14:textId="77777777" w:rsidTr="00FF491E">
        <w:trPr>
          <w:trHeight w:val="786"/>
        </w:trPr>
        <w:tc>
          <w:tcPr>
            <w:tcW w:w="4395" w:type="dxa"/>
            <w:tcBorders>
              <w:left w:val="single" w:sz="12" w:space="0" w:color="003399"/>
              <w:bottom w:val="single" w:sz="12" w:space="0" w:color="003399"/>
              <w:right w:val="single" w:sz="12" w:space="0" w:color="003399"/>
            </w:tcBorders>
            <w:vAlign w:val="center"/>
          </w:tcPr>
          <w:p w14:paraId="0A58AF43" w14:textId="77777777" w:rsidR="00DC4ED8" w:rsidRPr="000E5956" w:rsidRDefault="00DC4ED8" w:rsidP="003C58C0">
            <w:pPr>
              <w:pStyle w:val="TableParagraph"/>
              <w:spacing w:line="360" w:lineRule="auto"/>
              <w:ind w:firstLine="240"/>
              <w:rPr>
                <w:rFonts w:ascii="Open Sans SemiBold"/>
                <w:b/>
                <w:color w:val="003399"/>
                <w:spacing w:val="-2"/>
                <w:w w:val="105"/>
                <w:szCs w:val="28"/>
              </w:rPr>
            </w:pPr>
            <w:r w:rsidRPr="000E5956">
              <w:rPr>
                <w:rFonts w:ascii="Open Sans SemiBold"/>
                <w:b/>
                <w:color w:val="003399"/>
                <w:spacing w:val="-2"/>
                <w:w w:val="105"/>
                <w:szCs w:val="28"/>
              </w:rPr>
              <w:lastRenderedPageBreak/>
              <w:t>Priorities</w:t>
            </w:r>
          </w:p>
        </w:tc>
        <w:tc>
          <w:tcPr>
            <w:tcW w:w="2070" w:type="dxa"/>
            <w:tcBorders>
              <w:left w:val="single" w:sz="12" w:space="0" w:color="003399"/>
              <w:bottom w:val="single" w:sz="12" w:space="0" w:color="003399"/>
              <w:right w:val="single" w:sz="12" w:space="0" w:color="003399"/>
            </w:tcBorders>
            <w:vAlign w:val="center"/>
          </w:tcPr>
          <w:p w14:paraId="07484C40" w14:textId="77777777" w:rsidR="00DC4ED8" w:rsidRPr="000E5956" w:rsidRDefault="00DC4ED8" w:rsidP="003C58C0">
            <w:pPr>
              <w:pStyle w:val="TableParagraph"/>
              <w:spacing w:line="360" w:lineRule="auto"/>
              <w:ind w:firstLine="240"/>
              <w:rPr>
                <w:rFonts w:ascii="Open Sans SemiBold"/>
                <w:b/>
                <w:color w:val="003399"/>
                <w:spacing w:val="-2"/>
                <w:w w:val="105"/>
                <w:szCs w:val="28"/>
              </w:rPr>
            </w:pPr>
            <w:r w:rsidRPr="000E5956">
              <w:rPr>
                <w:rFonts w:ascii="Open Sans SemiBold"/>
                <w:b/>
                <w:color w:val="003399"/>
                <w:spacing w:val="-2"/>
                <w:w w:val="105"/>
                <w:szCs w:val="28"/>
              </w:rPr>
              <w:t>Allocation</w:t>
            </w:r>
          </w:p>
        </w:tc>
        <w:tc>
          <w:tcPr>
            <w:tcW w:w="2610" w:type="dxa"/>
            <w:tcBorders>
              <w:left w:val="single" w:sz="12" w:space="0" w:color="003399"/>
              <w:bottom w:val="single" w:sz="12" w:space="0" w:color="003399"/>
              <w:right w:val="single" w:sz="12" w:space="0" w:color="003399"/>
            </w:tcBorders>
            <w:vAlign w:val="center"/>
          </w:tcPr>
          <w:p w14:paraId="7BA1DB7C" w14:textId="2C44F8E6" w:rsidR="00B32D47" w:rsidRPr="000E5956" w:rsidRDefault="00DC4ED8" w:rsidP="003C58C0">
            <w:pPr>
              <w:pStyle w:val="TableParagraph"/>
              <w:spacing w:line="360" w:lineRule="auto"/>
              <w:rPr>
                <w:rFonts w:ascii="Open Sans SemiBold"/>
                <w:b/>
                <w:color w:val="003399"/>
                <w:spacing w:val="-2"/>
                <w:w w:val="105"/>
                <w:szCs w:val="28"/>
              </w:rPr>
            </w:pPr>
            <w:r w:rsidRPr="000E5956">
              <w:rPr>
                <w:rFonts w:ascii="Open Sans SemiBold"/>
                <w:b/>
                <w:color w:val="003399"/>
                <w:spacing w:val="-2"/>
                <w:w w:val="105"/>
                <w:szCs w:val="28"/>
              </w:rPr>
              <w:t xml:space="preserve">Share of the </w:t>
            </w:r>
            <w:r w:rsidR="0073010A" w:rsidRPr="000E5956">
              <w:rPr>
                <w:rFonts w:ascii="Open Sans SemiBold"/>
                <w:b/>
                <w:color w:val="003399"/>
                <w:spacing w:val="-2"/>
                <w:w w:val="105"/>
                <w:szCs w:val="28"/>
              </w:rPr>
              <w:t>P</w:t>
            </w:r>
            <w:r w:rsidRPr="000E5956">
              <w:rPr>
                <w:rFonts w:ascii="Open Sans SemiBold"/>
                <w:b/>
                <w:color w:val="003399"/>
                <w:spacing w:val="-2"/>
                <w:w w:val="105"/>
                <w:szCs w:val="28"/>
              </w:rPr>
              <w:t>rogramme budget</w:t>
            </w:r>
          </w:p>
        </w:tc>
      </w:tr>
      <w:tr w:rsidR="00B32D47" w14:paraId="4293193E" w14:textId="77777777" w:rsidTr="00FF491E">
        <w:trPr>
          <w:trHeight w:val="920"/>
        </w:trPr>
        <w:tc>
          <w:tcPr>
            <w:tcW w:w="4395" w:type="dxa"/>
            <w:tcBorders>
              <w:top w:val="single" w:sz="12" w:space="0" w:color="003399"/>
              <w:left w:val="single" w:sz="12" w:space="0" w:color="003399"/>
              <w:bottom w:val="single" w:sz="12" w:space="0" w:color="003399"/>
              <w:right w:val="single" w:sz="12" w:space="0" w:color="003399"/>
            </w:tcBorders>
            <w:vAlign w:val="center"/>
          </w:tcPr>
          <w:p w14:paraId="18CDFB51"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PRIORITY 1</w:t>
            </w:r>
          </w:p>
          <w:p w14:paraId="312F0ED2"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Innovative South Baltic</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75585132" w14:textId="77777777" w:rsidR="00DC4ED8" w:rsidRPr="00B32D47" w:rsidRDefault="00DC4ED8" w:rsidP="003C58C0">
            <w:pPr>
              <w:pStyle w:val="TableParagraph"/>
              <w:spacing w:line="360" w:lineRule="auto"/>
            </w:pPr>
            <w:r w:rsidRPr="00B32D47">
              <w:t>15,983,312.00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582FF33C" w14:textId="77777777" w:rsidR="00DC4ED8" w:rsidRPr="00B32D47" w:rsidRDefault="00DC4ED8" w:rsidP="003C58C0">
            <w:pPr>
              <w:pStyle w:val="TableParagraph"/>
              <w:spacing w:line="360" w:lineRule="auto"/>
            </w:pPr>
            <w:r w:rsidRPr="00B32D47">
              <w:t>19%</w:t>
            </w:r>
          </w:p>
        </w:tc>
      </w:tr>
      <w:tr w:rsidR="00B32D47" w14:paraId="3C675434" w14:textId="77777777" w:rsidTr="00B90E0B">
        <w:trPr>
          <w:trHeight w:val="462"/>
        </w:trPr>
        <w:tc>
          <w:tcPr>
            <w:tcW w:w="4395" w:type="dxa"/>
            <w:tcBorders>
              <w:top w:val="single" w:sz="12" w:space="0" w:color="003399"/>
              <w:left w:val="single" w:sz="12" w:space="0" w:color="003399"/>
              <w:bottom w:val="single" w:sz="12" w:space="0" w:color="003399"/>
              <w:right w:val="single" w:sz="12" w:space="0" w:color="003399"/>
            </w:tcBorders>
            <w:vAlign w:val="center"/>
          </w:tcPr>
          <w:p w14:paraId="203C2E33"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1.1 Digitilising the region</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3FC529BA" w14:textId="77777777" w:rsidR="00DC4ED8" w:rsidRPr="00B32D47" w:rsidRDefault="00DC4ED8" w:rsidP="003C58C0">
            <w:pPr>
              <w:pStyle w:val="TableParagraph"/>
              <w:spacing w:line="360" w:lineRule="auto"/>
            </w:pPr>
            <w:r w:rsidRPr="00B32D47">
              <w:t>11,188,319.00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09DE9E30" w14:textId="77777777" w:rsidR="00DC4ED8" w:rsidRPr="00B32D47" w:rsidRDefault="00DC4ED8" w:rsidP="003C58C0">
            <w:pPr>
              <w:pStyle w:val="TableParagraph"/>
              <w:spacing w:line="360" w:lineRule="auto"/>
            </w:pPr>
            <w:r w:rsidRPr="00B32D47">
              <w:t>13%</w:t>
            </w:r>
          </w:p>
        </w:tc>
      </w:tr>
      <w:tr w:rsidR="00B32D47" w14:paraId="77F4EF7D" w14:textId="77777777" w:rsidTr="00FF491E">
        <w:trPr>
          <w:trHeight w:val="837"/>
        </w:trPr>
        <w:tc>
          <w:tcPr>
            <w:tcW w:w="4395" w:type="dxa"/>
            <w:tcBorders>
              <w:top w:val="single" w:sz="12" w:space="0" w:color="003399"/>
              <w:left w:val="single" w:sz="12" w:space="0" w:color="003399"/>
              <w:bottom w:val="single" w:sz="12" w:space="0" w:color="003399"/>
              <w:right w:val="single" w:sz="12" w:space="0" w:color="003399"/>
            </w:tcBorders>
            <w:vAlign w:val="center"/>
          </w:tcPr>
          <w:p w14:paraId="631634A4"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1.2 Building connectivity of the region through internationalisation</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65EE6B0A" w14:textId="77777777" w:rsidR="00DC4ED8" w:rsidRPr="00B32D47" w:rsidRDefault="00DC4ED8" w:rsidP="003C58C0">
            <w:pPr>
              <w:pStyle w:val="TableParagraph"/>
              <w:spacing w:line="360" w:lineRule="auto"/>
            </w:pPr>
            <w:r w:rsidRPr="00B32D47">
              <w:t>4,794,933.00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068D5B51" w14:textId="77777777" w:rsidR="00DC4ED8" w:rsidRPr="00B32D47" w:rsidRDefault="00DC4ED8" w:rsidP="003C58C0">
            <w:pPr>
              <w:pStyle w:val="TableParagraph"/>
              <w:spacing w:line="360" w:lineRule="auto"/>
            </w:pPr>
            <w:r w:rsidRPr="00B32D47">
              <w:t>6%</w:t>
            </w:r>
          </w:p>
        </w:tc>
      </w:tr>
      <w:tr w:rsidR="00B32D47" w14:paraId="67A692C0" w14:textId="77777777" w:rsidTr="00FF491E">
        <w:trPr>
          <w:trHeight w:val="912"/>
        </w:trPr>
        <w:tc>
          <w:tcPr>
            <w:tcW w:w="4395" w:type="dxa"/>
            <w:tcBorders>
              <w:top w:val="single" w:sz="12" w:space="0" w:color="003399"/>
              <w:left w:val="single" w:sz="12" w:space="0" w:color="003399"/>
              <w:bottom w:val="single" w:sz="12" w:space="0" w:color="003399"/>
              <w:right w:val="single" w:sz="12" w:space="0" w:color="003399"/>
            </w:tcBorders>
            <w:vAlign w:val="center"/>
          </w:tcPr>
          <w:p w14:paraId="0A94900A"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PRIORITY 2</w:t>
            </w:r>
          </w:p>
          <w:p w14:paraId="00668C67"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Sustainable South Baltic</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79250ACE" w14:textId="77777777" w:rsidR="00DC4ED8" w:rsidRPr="00B32D47" w:rsidRDefault="00DC4ED8" w:rsidP="003C58C0">
            <w:pPr>
              <w:pStyle w:val="TableParagraph"/>
              <w:spacing w:line="360" w:lineRule="auto"/>
            </w:pPr>
            <w:r w:rsidRPr="00B32D47">
              <w:t>35,962,450.00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1D1C744E" w14:textId="77777777" w:rsidR="00DC4ED8" w:rsidRPr="00B32D47" w:rsidRDefault="00DC4ED8" w:rsidP="003C58C0">
            <w:pPr>
              <w:pStyle w:val="TableParagraph"/>
              <w:spacing w:line="360" w:lineRule="auto"/>
            </w:pPr>
            <w:r w:rsidRPr="00B32D47">
              <w:t>42%</w:t>
            </w:r>
          </w:p>
        </w:tc>
      </w:tr>
      <w:tr w:rsidR="00B32D47" w14:paraId="69AB9354" w14:textId="77777777" w:rsidTr="00FF491E">
        <w:trPr>
          <w:trHeight w:val="692"/>
        </w:trPr>
        <w:tc>
          <w:tcPr>
            <w:tcW w:w="4395" w:type="dxa"/>
            <w:tcBorders>
              <w:top w:val="single" w:sz="12" w:space="0" w:color="003399"/>
              <w:left w:val="single" w:sz="12" w:space="0" w:color="003399"/>
              <w:bottom w:val="single" w:sz="12" w:space="0" w:color="003399"/>
              <w:right w:val="single" w:sz="12" w:space="0" w:color="003399"/>
            </w:tcBorders>
            <w:vAlign w:val="center"/>
          </w:tcPr>
          <w:p w14:paraId="7C58B559"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2.1 Supporting transition towards green energy</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72322338" w14:textId="77777777" w:rsidR="00DC4ED8" w:rsidRPr="00B32D47" w:rsidRDefault="00DC4ED8" w:rsidP="003C58C0">
            <w:pPr>
              <w:pStyle w:val="TableParagraph"/>
              <w:spacing w:line="360" w:lineRule="auto"/>
            </w:pPr>
            <w:r w:rsidRPr="00B32D47">
              <w:t>14,384,980.00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087E2058" w14:textId="77777777" w:rsidR="00DC4ED8" w:rsidRPr="00B32D47" w:rsidRDefault="00DC4ED8" w:rsidP="003C58C0">
            <w:pPr>
              <w:pStyle w:val="TableParagraph"/>
              <w:spacing w:line="360" w:lineRule="auto"/>
            </w:pPr>
            <w:r w:rsidRPr="00B32D47">
              <w:t>17%</w:t>
            </w:r>
          </w:p>
        </w:tc>
      </w:tr>
      <w:tr w:rsidR="00B32D47" w14:paraId="3BB2B6DE" w14:textId="77777777" w:rsidTr="00FF491E">
        <w:trPr>
          <w:trHeight w:val="672"/>
        </w:trPr>
        <w:tc>
          <w:tcPr>
            <w:tcW w:w="4395" w:type="dxa"/>
            <w:tcBorders>
              <w:top w:val="single" w:sz="12" w:space="0" w:color="003399"/>
              <w:left w:val="single" w:sz="12" w:space="0" w:color="003399"/>
              <w:bottom w:val="single" w:sz="12" w:space="0" w:color="003399"/>
              <w:right w:val="single" w:sz="12" w:space="0" w:color="003399"/>
            </w:tcBorders>
            <w:vAlign w:val="center"/>
          </w:tcPr>
          <w:p w14:paraId="763FE2AA"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2.2 Promoting sustainable use of water</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0BE79C35" w14:textId="77777777" w:rsidR="00DC4ED8" w:rsidRPr="00B32D47" w:rsidRDefault="00DC4ED8" w:rsidP="003C58C0">
            <w:pPr>
              <w:pStyle w:val="TableParagraph"/>
              <w:spacing w:line="360" w:lineRule="auto"/>
            </w:pPr>
            <w:r w:rsidRPr="00B32D47">
              <w:t>12,586,857.00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4F6047E3" w14:textId="77777777" w:rsidR="00DC4ED8" w:rsidRPr="00B32D47" w:rsidRDefault="00DC4ED8" w:rsidP="003C58C0">
            <w:pPr>
              <w:pStyle w:val="TableParagraph"/>
              <w:spacing w:line="360" w:lineRule="auto"/>
            </w:pPr>
            <w:r w:rsidRPr="00B32D47">
              <w:t>15%</w:t>
            </w:r>
          </w:p>
        </w:tc>
      </w:tr>
      <w:tr w:rsidR="00B32D47" w14:paraId="0FC72F3E" w14:textId="77777777" w:rsidTr="00FF491E">
        <w:trPr>
          <w:trHeight w:val="981"/>
        </w:trPr>
        <w:tc>
          <w:tcPr>
            <w:tcW w:w="4395" w:type="dxa"/>
            <w:tcBorders>
              <w:top w:val="single" w:sz="12" w:space="0" w:color="003399"/>
              <w:left w:val="single" w:sz="12" w:space="0" w:color="003399"/>
              <w:bottom w:val="single" w:sz="12" w:space="0" w:color="003399"/>
              <w:right w:val="single" w:sz="12" w:space="0" w:color="003399"/>
            </w:tcBorders>
            <w:vAlign w:val="center"/>
          </w:tcPr>
          <w:p w14:paraId="521E2F99"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2.3 Supporting a circular and more resource-e</w:t>
            </w:r>
            <w:r w:rsidRPr="000E5956">
              <w:rPr>
                <w:rFonts w:ascii="Open Sans SemiBold"/>
                <w:b/>
                <w:color w:val="003399"/>
                <w:spacing w:val="-2"/>
                <w:w w:val="105"/>
                <w:szCs w:val="28"/>
              </w:rPr>
              <w:t>ﬃ</w:t>
            </w:r>
            <w:r w:rsidRPr="000E5956">
              <w:rPr>
                <w:rFonts w:ascii="Open Sans SemiBold"/>
                <w:b/>
                <w:color w:val="003399"/>
                <w:spacing w:val="-2"/>
                <w:w w:val="105"/>
                <w:szCs w:val="28"/>
              </w:rPr>
              <w:t>cient development</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6B14EF53" w14:textId="77777777" w:rsidR="00DC4ED8" w:rsidRPr="00B32D47" w:rsidRDefault="00DC4ED8" w:rsidP="003C58C0">
            <w:pPr>
              <w:pStyle w:val="TableParagraph"/>
              <w:spacing w:line="360" w:lineRule="auto"/>
            </w:pPr>
            <w:r w:rsidRPr="00B32D47">
              <w:t>8,990,613.00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1D2E2ED4" w14:textId="77777777" w:rsidR="00DC4ED8" w:rsidRPr="00B32D47" w:rsidRDefault="00DC4ED8" w:rsidP="003C58C0">
            <w:pPr>
              <w:pStyle w:val="TableParagraph"/>
              <w:spacing w:line="360" w:lineRule="auto"/>
            </w:pPr>
            <w:r w:rsidRPr="00B32D47">
              <w:t>10%</w:t>
            </w:r>
          </w:p>
        </w:tc>
      </w:tr>
      <w:tr w:rsidR="00B32D47" w14:paraId="2A8924B8" w14:textId="77777777" w:rsidTr="00FF491E">
        <w:trPr>
          <w:trHeight w:val="750"/>
        </w:trPr>
        <w:tc>
          <w:tcPr>
            <w:tcW w:w="4395" w:type="dxa"/>
            <w:tcBorders>
              <w:top w:val="single" w:sz="12" w:space="0" w:color="003399"/>
              <w:left w:val="single" w:sz="12" w:space="0" w:color="003399"/>
              <w:bottom w:val="single" w:sz="12" w:space="0" w:color="003399"/>
              <w:right w:val="single" w:sz="12" w:space="0" w:color="003399"/>
            </w:tcBorders>
            <w:vAlign w:val="center"/>
          </w:tcPr>
          <w:p w14:paraId="676C2826"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PRIORITY 3</w:t>
            </w:r>
          </w:p>
          <w:p w14:paraId="3B4D36B6"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Attractive South Baltic</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1C38B617" w14:textId="77777777" w:rsidR="00DC4ED8" w:rsidRPr="00B32D47" w:rsidRDefault="00DC4ED8" w:rsidP="003C58C0">
            <w:pPr>
              <w:pStyle w:val="TableParagraph"/>
              <w:spacing w:line="360" w:lineRule="auto"/>
            </w:pPr>
            <w:r w:rsidRPr="00B32D47">
              <w:t>19,979,140.00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46AE5F41" w14:textId="77777777" w:rsidR="00DC4ED8" w:rsidRPr="00B32D47" w:rsidRDefault="00DC4ED8" w:rsidP="003C58C0">
            <w:pPr>
              <w:pStyle w:val="TableParagraph"/>
              <w:spacing w:line="360" w:lineRule="auto"/>
            </w:pPr>
            <w:r w:rsidRPr="00B32D47">
              <w:t>23%</w:t>
            </w:r>
          </w:p>
        </w:tc>
      </w:tr>
      <w:tr w:rsidR="00B32D47" w14:paraId="1B4B5073" w14:textId="77777777" w:rsidTr="00FF491E">
        <w:trPr>
          <w:trHeight w:val="867"/>
        </w:trPr>
        <w:tc>
          <w:tcPr>
            <w:tcW w:w="4395" w:type="dxa"/>
            <w:tcBorders>
              <w:top w:val="single" w:sz="12" w:space="0" w:color="003399"/>
              <w:left w:val="single" w:sz="12" w:space="0" w:color="003399"/>
              <w:bottom w:val="single" w:sz="12" w:space="0" w:color="003399"/>
              <w:right w:val="single" w:sz="12" w:space="0" w:color="003399"/>
            </w:tcBorders>
            <w:vAlign w:val="center"/>
          </w:tcPr>
          <w:p w14:paraId="6A527418"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PRIORITY 4</w:t>
            </w:r>
          </w:p>
          <w:p w14:paraId="783CA0F8"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Active South Baltic</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48F84BA5" w14:textId="77777777" w:rsidR="00DC4ED8" w:rsidRPr="00B32D47" w:rsidRDefault="00DC4ED8" w:rsidP="003C58C0">
            <w:pPr>
              <w:pStyle w:val="TableParagraph"/>
              <w:spacing w:line="360" w:lineRule="auto"/>
            </w:pPr>
            <w:r w:rsidRPr="00B32D47">
              <w:t>7,991,656.00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787AD506" w14:textId="77777777" w:rsidR="00DC4ED8" w:rsidRPr="00B32D47" w:rsidRDefault="00DC4ED8" w:rsidP="003C58C0">
            <w:pPr>
              <w:pStyle w:val="TableParagraph"/>
              <w:spacing w:line="360" w:lineRule="auto"/>
            </w:pPr>
            <w:r w:rsidRPr="00B32D47">
              <w:t>9%</w:t>
            </w:r>
          </w:p>
        </w:tc>
      </w:tr>
      <w:tr w:rsidR="00B32D47" w14:paraId="21C7CF5B" w14:textId="77777777" w:rsidTr="00FF491E">
        <w:trPr>
          <w:trHeight w:val="602"/>
        </w:trPr>
        <w:tc>
          <w:tcPr>
            <w:tcW w:w="4395" w:type="dxa"/>
            <w:tcBorders>
              <w:top w:val="single" w:sz="12" w:space="0" w:color="003399"/>
              <w:left w:val="single" w:sz="12" w:space="0" w:color="003399"/>
              <w:bottom w:val="single" w:sz="12" w:space="0" w:color="003399"/>
              <w:right w:val="single" w:sz="12" w:space="0" w:color="003399"/>
            </w:tcBorders>
            <w:vAlign w:val="center"/>
          </w:tcPr>
          <w:p w14:paraId="335A1CA0"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Technical Assistance</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2308FF97" w14:textId="77777777" w:rsidR="00DC4ED8" w:rsidRPr="00B32D47" w:rsidRDefault="00DC4ED8" w:rsidP="003C58C0">
            <w:pPr>
              <w:pStyle w:val="TableParagraph"/>
              <w:spacing w:line="360" w:lineRule="auto"/>
            </w:pPr>
            <w:r w:rsidRPr="00B32D47">
              <w:t>5,594,155.00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2B42190D" w14:textId="77777777" w:rsidR="00DC4ED8" w:rsidRPr="00B32D47" w:rsidRDefault="00DC4ED8" w:rsidP="003C58C0">
            <w:pPr>
              <w:pStyle w:val="TableParagraph"/>
              <w:spacing w:line="360" w:lineRule="auto"/>
            </w:pPr>
            <w:r w:rsidRPr="00B32D47">
              <w:t>7%</w:t>
            </w:r>
          </w:p>
        </w:tc>
      </w:tr>
      <w:tr w:rsidR="00B32D47" w14:paraId="4F97F698" w14:textId="77777777" w:rsidTr="00177E82">
        <w:trPr>
          <w:trHeight w:val="594"/>
        </w:trPr>
        <w:tc>
          <w:tcPr>
            <w:tcW w:w="4395" w:type="dxa"/>
            <w:tcBorders>
              <w:top w:val="single" w:sz="12" w:space="0" w:color="003399"/>
              <w:left w:val="single" w:sz="12" w:space="0" w:color="003399"/>
              <w:bottom w:val="single" w:sz="12" w:space="0" w:color="003399"/>
              <w:right w:val="single" w:sz="12" w:space="0" w:color="003399"/>
            </w:tcBorders>
            <w:vAlign w:val="center"/>
          </w:tcPr>
          <w:p w14:paraId="096AA26A" w14:textId="77777777" w:rsidR="00DC4ED8" w:rsidRPr="000E5956" w:rsidRDefault="00DC4ED8" w:rsidP="003C58C0">
            <w:pPr>
              <w:pStyle w:val="TableParagraph"/>
              <w:spacing w:line="360" w:lineRule="auto"/>
              <w:ind w:firstLine="240"/>
              <w:jc w:val="both"/>
              <w:rPr>
                <w:rFonts w:ascii="Open Sans SemiBold"/>
                <w:b/>
                <w:color w:val="003399"/>
                <w:spacing w:val="-2"/>
                <w:w w:val="105"/>
                <w:szCs w:val="28"/>
              </w:rPr>
            </w:pPr>
            <w:r w:rsidRPr="000E5956">
              <w:rPr>
                <w:rFonts w:ascii="Open Sans SemiBold"/>
                <w:b/>
                <w:color w:val="003399"/>
                <w:spacing w:val="-2"/>
                <w:w w:val="105"/>
                <w:szCs w:val="28"/>
              </w:rPr>
              <w:t>TOTAL</w:t>
            </w:r>
          </w:p>
        </w:tc>
        <w:tc>
          <w:tcPr>
            <w:tcW w:w="2070" w:type="dxa"/>
            <w:tcBorders>
              <w:top w:val="single" w:sz="12" w:space="0" w:color="003399"/>
              <w:left w:val="single" w:sz="12" w:space="0" w:color="003399"/>
              <w:bottom w:val="single" w:sz="12" w:space="0" w:color="003399"/>
              <w:right w:val="single" w:sz="12" w:space="0" w:color="003399"/>
            </w:tcBorders>
            <w:vAlign w:val="center"/>
          </w:tcPr>
          <w:p w14:paraId="5AE57381" w14:textId="77777777" w:rsidR="00DC4ED8" w:rsidRPr="00B32D47" w:rsidRDefault="00DC4ED8" w:rsidP="003C58C0">
            <w:pPr>
              <w:pStyle w:val="TableParagraph"/>
              <w:spacing w:line="360" w:lineRule="auto"/>
            </w:pPr>
            <w:r w:rsidRPr="00B32D47">
              <w:t>85,510,713.00</w:t>
            </w:r>
          </w:p>
        </w:tc>
        <w:tc>
          <w:tcPr>
            <w:tcW w:w="2610" w:type="dxa"/>
            <w:tcBorders>
              <w:top w:val="single" w:sz="12" w:space="0" w:color="003399"/>
              <w:left w:val="single" w:sz="12" w:space="0" w:color="003399"/>
              <w:bottom w:val="single" w:sz="12" w:space="0" w:color="003399"/>
              <w:right w:val="single" w:sz="12" w:space="0" w:color="003399"/>
            </w:tcBorders>
            <w:vAlign w:val="center"/>
          </w:tcPr>
          <w:p w14:paraId="2F8D0224" w14:textId="77777777" w:rsidR="00DC4ED8" w:rsidRPr="00B32D47" w:rsidRDefault="00DC4ED8" w:rsidP="003C58C0">
            <w:pPr>
              <w:pStyle w:val="TableParagraph"/>
              <w:spacing w:line="360" w:lineRule="auto"/>
            </w:pPr>
            <w:r w:rsidRPr="00B32D47">
              <w:t>100%</w:t>
            </w:r>
          </w:p>
        </w:tc>
      </w:tr>
      <w:tr w:rsidR="00177E82" w:rsidRPr="00805C22" w14:paraId="2BDCD662" w14:textId="77777777" w:rsidTr="003C58C0">
        <w:trPr>
          <w:trHeight w:val="537"/>
        </w:trPr>
        <w:tc>
          <w:tcPr>
            <w:tcW w:w="9075" w:type="dxa"/>
            <w:gridSpan w:val="3"/>
            <w:tcBorders>
              <w:top w:val="single" w:sz="12" w:space="0" w:color="003399"/>
              <w:left w:val="single" w:sz="12" w:space="0" w:color="003399"/>
              <w:right w:val="single" w:sz="12" w:space="0" w:color="003399"/>
            </w:tcBorders>
            <w:vAlign w:val="center"/>
          </w:tcPr>
          <w:p w14:paraId="0B7ACC6A" w14:textId="77777777" w:rsidR="00177E82" w:rsidRPr="000E5956" w:rsidRDefault="00177E82" w:rsidP="003C58C0">
            <w:pPr>
              <w:pStyle w:val="BodyText"/>
              <w:spacing w:line="360" w:lineRule="auto"/>
              <w:rPr>
                <w:rFonts w:ascii="Open Sans SemiBold" w:eastAsia="Open Sans" w:hAnsi="Open Sans" w:cs="Open Sans"/>
                <w:b/>
                <w:color w:val="003399"/>
                <w:spacing w:val="-2"/>
                <w:w w:val="105"/>
                <w:sz w:val="24"/>
                <w:szCs w:val="28"/>
                <w:lang w:eastAsia="en-US"/>
              </w:rPr>
            </w:pPr>
            <w:r w:rsidRPr="000E5956">
              <w:rPr>
                <w:rFonts w:ascii="Open Sans SemiBold" w:eastAsia="Open Sans" w:hAnsi="Open Sans" w:cs="Open Sans"/>
                <w:b/>
                <w:color w:val="003399"/>
                <w:spacing w:val="-2"/>
                <w:w w:val="105"/>
                <w:sz w:val="24"/>
                <w:szCs w:val="28"/>
                <w:lang w:eastAsia="en-US"/>
              </w:rPr>
              <w:t xml:space="preserve">Note: </w:t>
            </w:r>
          </w:p>
          <w:p w14:paraId="21A757B7" w14:textId="1762FEA5" w:rsidR="00177E82" w:rsidRPr="00B32D47" w:rsidRDefault="00177E82" w:rsidP="003C58C0">
            <w:pPr>
              <w:pStyle w:val="TableParagraph"/>
              <w:spacing w:line="360" w:lineRule="auto"/>
            </w:pPr>
            <w:r w:rsidRPr="00177E82">
              <w:t xml:space="preserve">The Technical Assistance budget is not available to the projects as it provides funding for the preparation, management, monitoring, evaluation, information, and control activities of the Programme and is used only by organisations </w:t>
            </w:r>
            <w:r w:rsidRPr="00177E82">
              <w:lastRenderedPageBreak/>
              <w:t>responsible for the above-mentioned tasks.</w:t>
            </w:r>
          </w:p>
        </w:tc>
      </w:tr>
    </w:tbl>
    <w:p w14:paraId="5D13709D" w14:textId="37CF3EDE" w:rsidR="00C94D42" w:rsidRDefault="00C94D42" w:rsidP="003C58C0">
      <w:pPr>
        <w:spacing w:line="360" w:lineRule="auto"/>
        <w:rPr>
          <w:rFonts w:ascii="Open Sans SemiBold" w:eastAsia="Open Sans SemiBold" w:hAnsi="Open Sans SemiBold" w:cs="Open Sans SemiBold"/>
          <w:color w:val="003399"/>
          <w:szCs w:val="24"/>
        </w:rPr>
      </w:pPr>
    </w:p>
    <w:p w14:paraId="1A7B5B13" w14:textId="30F90A78" w:rsidR="00090002" w:rsidRPr="00C412C8" w:rsidRDefault="00AE6BCF" w:rsidP="003C58C0">
      <w:pPr>
        <w:pStyle w:val="Heading2"/>
        <w:spacing w:line="360" w:lineRule="auto"/>
      </w:pPr>
      <w:bookmarkStart w:id="21" w:name="_Toc147242373"/>
      <w:r w:rsidRPr="00C412C8">
        <w:t>6</w:t>
      </w:r>
      <w:r w:rsidR="007A42BC" w:rsidRPr="00C412C8">
        <w:t xml:space="preserve"> CO-FINANCING RATES</w:t>
      </w:r>
      <w:bookmarkEnd w:id="21"/>
    </w:p>
    <w:p w14:paraId="53D105E9" w14:textId="4C30EBF9" w:rsidR="009A3597" w:rsidRPr="00DC4ED8" w:rsidRDefault="00AF5F47" w:rsidP="003C58C0">
      <w:pPr>
        <w:spacing w:line="360" w:lineRule="auto"/>
      </w:pPr>
      <w:r w:rsidRPr="00DC4ED8">
        <w:t>Unlike in</w:t>
      </w:r>
      <w:r w:rsidR="00C95557" w:rsidRPr="00DC4ED8">
        <w:t xml:space="preserve"> the</w:t>
      </w:r>
      <w:r w:rsidR="009A3597" w:rsidRPr="00DC4ED8">
        <w:t xml:space="preserve"> previous editions of the Programme, </w:t>
      </w:r>
      <w:r w:rsidRPr="00DC4ED8">
        <w:t xml:space="preserve">the maximum </w:t>
      </w:r>
      <w:r w:rsidR="009A3597" w:rsidRPr="00DC4ED8">
        <w:t xml:space="preserve">co-financing rate for all project partners </w:t>
      </w:r>
      <w:r w:rsidRPr="00DC4ED8">
        <w:t xml:space="preserve">from the 5 Member States participating in the Programme </w:t>
      </w:r>
      <w:r w:rsidR="00C95557" w:rsidRPr="00DC4ED8">
        <w:t xml:space="preserve">is established at the same </w:t>
      </w:r>
      <w:r w:rsidRPr="00DC4ED8">
        <w:t>value</w:t>
      </w:r>
      <w:r w:rsidR="00C95557" w:rsidRPr="00DC4ED8">
        <w:t>. This means that regardless of the</w:t>
      </w:r>
      <w:r w:rsidR="006E766B" w:rsidRPr="00DC4ED8">
        <w:t xml:space="preserve"> </w:t>
      </w:r>
      <w:r w:rsidR="00C95557" w:rsidRPr="00DC4ED8">
        <w:t xml:space="preserve">location of the beneficiary, each </w:t>
      </w:r>
      <w:r w:rsidR="0019357D" w:rsidRPr="00DC4ED8">
        <w:t xml:space="preserve">project </w:t>
      </w:r>
      <w:r w:rsidR="00C95557" w:rsidRPr="00DC4ED8">
        <w:t xml:space="preserve">partner may receive up to 80% ERDF co-financing for eligible </w:t>
      </w:r>
      <w:r w:rsidRPr="00DC4ED8">
        <w:t xml:space="preserve">expenditure </w:t>
      </w:r>
      <w:r w:rsidR="00C95557" w:rsidRPr="00DC4ED8">
        <w:t xml:space="preserve">generated within a project. The remaining part of the costs </w:t>
      </w:r>
      <w:r w:rsidR="009F051E" w:rsidRPr="00DC4ED8">
        <w:t>must</w:t>
      </w:r>
      <w:r w:rsidR="00C95557" w:rsidRPr="00DC4ED8">
        <w:t xml:space="preserve"> be contributed by the partners from their resources, constituting national co-financing. This also applies to partners located within the Programme Member States, but outside the Programme area (</w:t>
      </w:r>
      <w:r w:rsidR="0098375F" w:rsidRPr="00DC4ED8">
        <w:t>see</w:t>
      </w:r>
      <w:r w:rsidR="0054258E" w:rsidRPr="00DC4ED8">
        <w:t xml:space="preserve"> </w:t>
      </w:r>
      <w:r w:rsidR="00090002" w:rsidRPr="00DC4ED8">
        <w:t xml:space="preserve">Chapter </w:t>
      </w:r>
      <w:r w:rsidR="00DC7AE7">
        <w:t>I</w:t>
      </w:r>
      <w:r w:rsidR="00090002" w:rsidRPr="00DC4ED8">
        <w:t xml:space="preserve">II, </w:t>
      </w:r>
      <w:r w:rsidR="004D0BC0" w:rsidRPr="00DC4ED8">
        <w:t xml:space="preserve">Section </w:t>
      </w:r>
      <w:r w:rsidR="0054258E" w:rsidRPr="00DC4ED8">
        <w:t>3 Partnership principles in South Baltic Programme).</w:t>
      </w:r>
    </w:p>
    <w:p w14:paraId="474014D8" w14:textId="5A80D149" w:rsidR="009A3597" w:rsidRPr="00DC4ED8" w:rsidRDefault="009A3597" w:rsidP="003C58C0">
      <w:pPr>
        <w:spacing w:line="360" w:lineRule="auto"/>
      </w:pPr>
      <w:r w:rsidRPr="00DC4ED8">
        <w:t>For partners located in EU Member States other than the Programme Member States</w:t>
      </w:r>
      <w:r w:rsidR="009F051E" w:rsidRPr="00DC4ED8">
        <w:t>,</w:t>
      </w:r>
      <w:r w:rsidRPr="00DC4ED8">
        <w:t xml:space="preserve"> the applicable ERDF co-financing is a maximum of </w:t>
      </w:r>
      <w:r w:rsidR="00B94425" w:rsidRPr="00DC4ED8">
        <w:t>80</w:t>
      </w:r>
      <w:r w:rsidRPr="00DC4ED8">
        <w:t>%.</w:t>
      </w:r>
    </w:p>
    <w:p w14:paraId="70C7255F" w14:textId="2E140E64" w:rsidR="00153519" w:rsidRPr="00141E13" w:rsidRDefault="009A3597" w:rsidP="003C58C0">
      <w:pPr>
        <w:spacing w:line="360" w:lineRule="auto"/>
      </w:pPr>
      <w:r w:rsidRPr="00DC4ED8">
        <w:t>It must be emphasised that co-financing rates for particular project partners may be reduced i</w:t>
      </w:r>
      <w:r w:rsidR="009F051E" w:rsidRPr="00DC4ED8">
        <w:t>f the</w:t>
      </w:r>
      <w:r w:rsidRPr="00DC4ED8">
        <w:t xml:space="preserve"> activities are subject to </w:t>
      </w:r>
      <w:r w:rsidR="00BF5C93" w:rsidRPr="00DC4ED8">
        <w:t>S</w:t>
      </w:r>
      <w:r w:rsidRPr="00DC4ED8">
        <w:t xml:space="preserve">tate </w:t>
      </w:r>
      <w:r w:rsidR="00BF5C93" w:rsidRPr="00DC4ED8">
        <w:t>a</w:t>
      </w:r>
      <w:r w:rsidRPr="00DC4ED8">
        <w:t>id rules</w:t>
      </w:r>
      <w:r w:rsidR="00EA7C21" w:rsidRPr="00DC4ED8">
        <w:t xml:space="preserve"> </w:t>
      </w:r>
      <w:r w:rsidR="00B03815" w:rsidRPr="00DC4ED8">
        <w:t>or if</w:t>
      </w:r>
      <w:r w:rsidR="00634B81" w:rsidRPr="00DC4ED8">
        <w:t xml:space="preserve"> </w:t>
      </w:r>
      <w:r w:rsidR="00EA7C21" w:rsidRPr="00DC4ED8">
        <w:t xml:space="preserve">insufficient funding </w:t>
      </w:r>
      <w:r w:rsidR="009F051E" w:rsidRPr="00DC4ED8">
        <w:t xml:space="preserve">is </w:t>
      </w:r>
      <w:r w:rsidR="00EA7C21" w:rsidRPr="00DC4ED8">
        <w:t>available in the Programme</w:t>
      </w:r>
      <w:r w:rsidRPr="00DC4ED8">
        <w:t>.</w:t>
      </w:r>
    </w:p>
    <w:p w14:paraId="5CB27D3B" w14:textId="06ABC79F" w:rsidR="007A42BC" w:rsidRDefault="007A42BC" w:rsidP="003C58C0">
      <w:pPr>
        <w:pStyle w:val="Heading1"/>
        <w:spacing w:line="360" w:lineRule="auto"/>
      </w:pPr>
      <w:bookmarkStart w:id="22" w:name="_Toc147242374"/>
      <w:r w:rsidRPr="00C412C8">
        <w:t>I</w:t>
      </w:r>
      <w:r w:rsidR="002C7B64">
        <w:t xml:space="preserve">I </w:t>
      </w:r>
      <w:r w:rsidR="00712E6F">
        <w:t>DETAILED DESCRIPTION OF PRI</w:t>
      </w:r>
      <w:r w:rsidR="00BD5C68">
        <w:t>ORITIES</w:t>
      </w:r>
      <w:bookmarkEnd w:id="22"/>
    </w:p>
    <w:p w14:paraId="3489B8B7" w14:textId="68D65E4A" w:rsidR="00720FBB" w:rsidRDefault="00736C10" w:rsidP="003C58C0">
      <w:pPr>
        <w:spacing w:line="360" w:lineRule="auto"/>
      </w:pPr>
      <w:r w:rsidRPr="00665C29">
        <w:t xml:space="preserve">The Programme motto </w:t>
      </w:r>
      <w:r w:rsidR="00F02972" w:rsidRPr="00665C29">
        <w:t>‘</w:t>
      </w:r>
      <w:r w:rsidRPr="00665C29">
        <w:t>United by the Sea into action for a blue and green future</w:t>
      </w:r>
      <w:r w:rsidR="00F02972" w:rsidRPr="00665C29">
        <w:t>’</w:t>
      </w:r>
      <w:r w:rsidRPr="00665C29">
        <w:t xml:space="preserve"> supports the vision of </w:t>
      </w:r>
      <w:r w:rsidR="0066299C" w:rsidRPr="00665C29">
        <w:t xml:space="preserve">an </w:t>
      </w:r>
      <w:r w:rsidRPr="00665C29">
        <w:t>Innovative, Sustainable, Attractive and Active South Baltic region</w:t>
      </w:r>
      <w:r w:rsidR="009B3221" w:rsidRPr="00665C29">
        <w:t xml:space="preserve"> </w:t>
      </w:r>
      <w:r w:rsidR="00611FC6" w:rsidRPr="00665C29">
        <w:t>(for more information</w:t>
      </w:r>
      <w:r w:rsidR="0066299C" w:rsidRPr="00665C29">
        <w:t>,</w:t>
      </w:r>
      <w:r w:rsidR="00611FC6" w:rsidRPr="00665C29">
        <w:t xml:space="preserve"> please refer to </w:t>
      </w:r>
      <w:r w:rsidR="00CA5532" w:rsidRPr="00665C29">
        <w:t xml:space="preserve">Chapter I, </w:t>
      </w:r>
      <w:r w:rsidR="00611FC6" w:rsidRPr="00665C29">
        <w:t xml:space="preserve">Section </w:t>
      </w:r>
      <w:r w:rsidR="005A681D" w:rsidRPr="00665C29">
        <w:t>1.2</w:t>
      </w:r>
      <w:r w:rsidR="00611FC6" w:rsidRPr="00665C29">
        <w:t xml:space="preserve"> Overall Vision of the South Baltic Area)</w:t>
      </w:r>
      <w:r w:rsidRPr="00665C29">
        <w:t xml:space="preserve">. </w:t>
      </w:r>
      <w:r w:rsidR="0066299C" w:rsidRPr="00665C29">
        <w:t xml:space="preserve">Based </w:t>
      </w:r>
      <w:r w:rsidRPr="00665C29">
        <w:t xml:space="preserve">on the identified key development challenges corresponding to these approaches, four </w:t>
      </w:r>
      <w:r w:rsidR="00E64487" w:rsidRPr="00665C29">
        <w:t>priorities</w:t>
      </w:r>
      <w:r w:rsidRPr="00665C29">
        <w:t xml:space="preserve"> were defined by the Interreg South Baltic Programme 2021</w:t>
      </w:r>
      <w:r w:rsidR="006910EC" w:rsidRPr="00665C29">
        <w:t>–</w:t>
      </w:r>
      <w:r w:rsidRPr="00665C29">
        <w:t>2027 to be addressed within the cross-border cooperation.</w:t>
      </w:r>
    </w:p>
    <w:tbl>
      <w:tblPr>
        <w:tblStyle w:val="TableNormal1"/>
        <w:tblpPr w:leftFromText="180" w:rightFromText="180" w:vertAnchor="text" w:horzAnchor="margin" w:tblpY="233"/>
        <w:tblW w:w="9075" w:type="dxa"/>
        <w:tblBorders>
          <w:top w:val="single" w:sz="12" w:space="0" w:color="003399"/>
          <w:left w:val="single" w:sz="12" w:space="0" w:color="003399"/>
          <w:bottom w:val="single" w:sz="12" w:space="0" w:color="003399"/>
          <w:right w:val="single" w:sz="12" w:space="0" w:color="003399"/>
          <w:insideH w:val="single" w:sz="12" w:space="0" w:color="003399"/>
          <w:insideV w:val="single" w:sz="12" w:space="0" w:color="003399"/>
        </w:tblBorders>
        <w:tblLayout w:type="fixed"/>
        <w:tblLook w:val="01E0" w:firstRow="1" w:lastRow="1" w:firstColumn="1" w:lastColumn="1" w:noHBand="0" w:noVBand="0"/>
      </w:tblPr>
      <w:tblGrid>
        <w:gridCol w:w="3451"/>
        <w:gridCol w:w="5624"/>
      </w:tblGrid>
      <w:tr w:rsidR="00F36548" w14:paraId="693720B4" w14:textId="77777777" w:rsidTr="000E5956">
        <w:trPr>
          <w:trHeight w:val="485"/>
          <w:tblHeader/>
        </w:trPr>
        <w:tc>
          <w:tcPr>
            <w:tcW w:w="3451" w:type="dxa"/>
          </w:tcPr>
          <w:p w14:paraId="27657DDD" w14:textId="77777777" w:rsidR="00F36548" w:rsidRDefault="00F36548" w:rsidP="003C58C0">
            <w:pPr>
              <w:pStyle w:val="TableParagraph"/>
              <w:spacing w:line="360" w:lineRule="auto"/>
            </w:pPr>
            <w:r>
              <w:rPr>
                <w:w w:val="105"/>
              </w:rPr>
              <w:lastRenderedPageBreak/>
              <w:t>Priorities</w:t>
            </w:r>
          </w:p>
        </w:tc>
        <w:tc>
          <w:tcPr>
            <w:tcW w:w="5624" w:type="dxa"/>
          </w:tcPr>
          <w:p w14:paraId="7B9A4ADE" w14:textId="77777777" w:rsidR="00F36548" w:rsidRDefault="00F36548" w:rsidP="003C58C0">
            <w:pPr>
              <w:pStyle w:val="TableParagraph"/>
              <w:spacing w:line="360" w:lineRule="auto"/>
            </w:pPr>
            <w:r>
              <w:t>Programme</w:t>
            </w:r>
            <w:r>
              <w:rPr>
                <w:spacing w:val="27"/>
              </w:rPr>
              <w:t xml:space="preserve"> </w:t>
            </w:r>
            <w:r>
              <w:rPr>
                <w:spacing w:val="-2"/>
              </w:rPr>
              <w:t>measure</w:t>
            </w:r>
          </w:p>
        </w:tc>
      </w:tr>
      <w:tr w:rsidR="00F36548" w14:paraId="6170E629" w14:textId="77777777" w:rsidTr="000473CC">
        <w:trPr>
          <w:trHeight w:val="495"/>
        </w:trPr>
        <w:tc>
          <w:tcPr>
            <w:tcW w:w="3451" w:type="dxa"/>
            <w:vMerge w:val="restart"/>
            <w:vAlign w:val="center"/>
          </w:tcPr>
          <w:p w14:paraId="77488D7B" w14:textId="77777777" w:rsidR="00F36548" w:rsidRPr="001060E6" w:rsidRDefault="00F36548" w:rsidP="003C58C0">
            <w:pPr>
              <w:pStyle w:val="TableParagraph"/>
              <w:spacing w:line="360" w:lineRule="auto"/>
              <w:rPr>
                <w:w w:val="105"/>
              </w:rPr>
            </w:pPr>
            <w:r w:rsidRPr="001060E6">
              <w:rPr>
                <w:w w:val="105"/>
              </w:rPr>
              <w:t>PRIORITY 1</w:t>
            </w:r>
          </w:p>
          <w:p w14:paraId="181E0720" w14:textId="3568A830" w:rsidR="00F36548" w:rsidRPr="001060E6" w:rsidRDefault="00F36548" w:rsidP="003C58C0">
            <w:pPr>
              <w:pStyle w:val="TableParagraph"/>
              <w:spacing w:line="360" w:lineRule="auto"/>
              <w:rPr>
                <w:w w:val="105"/>
              </w:rPr>
            </w:pPr>
            <w:r w:rsidRPr="001060E6">
              <w:rPr>
                <w:w w:val="105"/>
              </w:rPr>
              <w:t>Innovative South Baltic</w:t>
            </w:r>
          </w:p>
        </w:tc>
        <w:tc>
          <w:tcPr>
            <w:tcW w:w="5624" w:type="dxa"/>
            <w:vAlign w:val="center"/>
          </w:tcPr>
          <w:p w14:paraId="5304279F" w14:textId="77777777" w:rsidR="00F36548" w:rsidRDefault="00F36548" w:rsidP="003C58C0">
            <w:pPr>
              <w:pStyle w:val="TableParagraph"/>
              <w:spacing w:line="360" w:lineRule="auto"/>
            </w:pPr>
            <w:r>
              <w:rPr>
                <w:w w:val="105"/>
              </w:rPr>
              <w:t>1.1</w:t>
            </w:r>
            <w:r>
              <w:rPr>
                <w:spacing w:val="-12"/>
                <w:w w:val="105"/>
              </w:rPr>
              <w:t xml:space="preserve"> </w:t>
            </w:r>
            <w:r>
              <w:rPr>
                <w:w w:val="105"/>
              </w:rPr>
              <w:t>Digitilising</w:t>
            </w:r>
            <w:r>
              <w:rPr>
                <w:spacing w:val="-12"/>
                <w:w w:val="105"/>
              </w:rPr>
              <w:t xml:space="preserve"> </w:t>
            </w:r>
            <w:r>
              <w:rPr>
                <w:w w:val="105"/>
              </w:rPr>
              <w:t>the</w:t>
            </w:r>
            <w:r>
              <w:rPr>
                <w:spacing w:val="-12"/>
                <w:w w:val="105"/>
              </w:rPr>
              <w:t xml:space="preserve"> </w:t>
            </w:r>
            <w:r>
              <w:rPr>
                <w:spacing w:val="-2"/>
                <w:w w:val="105"/>
              </w:rPr>
              <w:t>region</w:t>
            </w:r>
          </w:p>
        </w:tc>
      </w:tr>
      <w:tr w:rsidR="00F36548" w:rsidRPr="00805C22" w14:paraId="7A7C7B4E" w14:textId="77777777" w:rsidTr="00985206">
        <w:trPr>
          <w:trHeight w:val="417"/>
        </w:trPr>
        <w:tc>
          <w:tcPr>
            <w:tcW w:w="3451" w:type="dxa"/>
            <w:vMerge/>
            <w:tcBorders>
              <w:top w:val="nil"/>
            </w:tcBorders>
            <w:vAlign w:val="center"/>
          </w:tcPr>
          <w:p w14:paraId="433AA636" w14:textId="77777777" w:rsidR="00F36548" w:rsidRPr="001060E6" w:rsidRDefault="00F36548" w:rsidP="003C58C0">
            <w:pPr>
              <w:spacing w:line="360" w:lineRule="auto"/>
              <w:rPr>
                <w:w w:val="105"/>
              </w:rPr>
            </w:pPr>
          </w:p>
        </w:tc>
        <w:tc>
          <w:tcPr>
            <w:tcW w:w="5624" w:type="dxa"/>
            <w:vAlign w:val="center"/>
          </w:tcPr>
          <w:p w14:paraId="3C072E00" w14:textId="77777777" w:rsidR="00F36548" w:rsidRDefault="00F36548" w:rsidP="003C58C0">
            <w:pPr>
              <w:pStyle w:val="TableParagraph"/>
              <w:spacing w:line="360" w:lineRule="auto"/>
            </w:pPr>
            <w:r>
              <w:rPr>
                <w:w w:val="105"/>
              </w:rPr>
              <w:t>1.2</w:t>
            </w:r>
            <w:r>
              <w:rPr>
                <w:spacing w:val="-7"/>
                <w:w w:val="105"/>
              </w:rPr>
              <w:t xml:space="preserve"> </w:t>
            </w:r>
            <w:r>
              <w:rPr>
                <w:w w:val="105"/>
              </w:rPr>
              <w:t>Building</w:t>
            </w:r>
            <w:r>
              <w:rPr>
                <w:spacing w:val="-7"/>
                <w:w w:val="105"/>
              </w:rPr>
              <w:t xml:space="preserve"> </w:t>
            </w:r>
            <w:r>
              <w:rPr>
                <w:w w:val="105"/>
              </w:rPr>
              <w:t>connectivity</w:t>
            </w:r>
            <w:r>
              <w:rPr>
                <w:spacing w:val="-7"/>
                <w:w w:val="105"/>
              </w:rPr>
              <w:t xml:space="preserve"> </w:t>
            </w:r>
            <w:r>
              <w:rPr>
                <w:w w:val="105"/>
              </w:rPr>
              <w:t>of</w:t>
            </w:r>
            <w:r>
              <w:rPr>
                <w:spacing w:val="-7"/>
                <w:w w:val="105"/>
              </w:rPr>
              <w:t xml:space="preserve"> </w:t>
            </w:r>
            <w:r>
              <w:rPr>
                <w:w w:val="105"/>
              </w:rPr>
              <w:t>the</w:t>
            </w:r>
            <w:r>
              <w:rPr>
                <w:spacing w:val="-7"/>
                <w:w w:val="105"/>
              </w:rPr>
              <w:t xml:space="preserve"> </w:t>
            </w:r>
            <w:r>
              <w:rPr>
                <w:w w:val="105"/>
              </w:rPr>
              <w:t>region</w:t>
            </w:r>
            <w:r>
              <w:rPr>
                <w:spacing w:val="-7"/>
                <w:w w:val="105"/>
              </w:rPr>
              <w:t xml:space="preserve"> </w:t>
            </w:r>
            <w:r>
              <w:rPr>
                <w:w w:val="105"/>
              </w:rPr>
              <w:t>through internationalisation</w:t>
            </w:r>
          </w:p>
        </w:tc>
      </w:tr>
      <w:tr w:rsidR="00F36548" w:rsidRPr="00805C22" w14:paraId="1A03266D" w14:textId="77777777" w:rsidTr="000473CC">
        <w:trPr>
          <w:trHeight w:val="551"/>
        </w:trPr>
        <w:tc>
          <w:tcPr>
            <w:tcW w:w="3451" w:type="dxa"/>
            <w:vMerge w:val="restart"/>
            <w:vAlign w:val="center"/>
          </w:tcPr>
          <w:p w14:paraId="14936037" w14:textId="77777777" w:rsidR="00F36548" w:rsidRPr="001060E6" w:rsidRDefault="00F36548" w:rsidP="003C58C0">
            <w:pPr>
              <w:pStyle w:val="TableParagraph"/>
              <w:spacing w:line="360" w:lineRule="auto"/>
              <w:rPr>
                <w:w w:val="105"/>
              </w:rPr>
            </w:pPr>
          </w:p>
          <w:p w14:paraId="74DEE1A3" w14:textId="77777777" w:rsidR="00F36548" w:rsidRPr="001060E6" w:rsidRDefault="00F36548" w:rsidP="003C58C0">
            <w:pPr>
              <w:pStyle w:val="TableParagraph"/>
              <w:spacing w:line="360" w:lineRule="auto"/>
              <w:rPr>
                <w:w w:val="105"/>
              </w:rPr>
            </w:pPr>
            <w:r w:rsidRPr="001060E6">
              <w:rPr>
                <w:w w:val="105"/>
              </w:rPr>
              <w:t>PRIORITY 2 –</w:t>
            </w:r>
          </w:p>
          <w:p w14:paraId="25832B3E" w14:textId="77777777" w:rsidR="00F36548" w:rsidRPr="001060E6" w:rsidRDefault="00F36548" w:rsidP="003C58C0">
            <w:pPr>
              <w:pStyle w:val="TableParagraph"/>
              <w:spacing w:line="360" w:lineRule="auto"/>
              <w:rPr>
                <w:w w:val="105"/>
              </w:rPr>
            </w:pPr>
            <w:r w:rsidRPr="001060E6">
              <w:rPr>
                <w:w w:val="105"/>
              </w:rPr>
              <w:t>Sustainable South Baltic</w:t>
            </w:r>
          </w:p>
        </w:tc>
        <w:tc>
          <w:tcPr>
            <w:tcW w:w="5624" w:type="dxa"/>
            <w:vAlign w:val="center"/>
          </w:tcPr>
          <w:p w14:paraId="341EBB45" w14:textId="77777777" w:rsidR="00F36548" w:rsidRDefault="00F36548" w:rsidP="003C58C0">
            <w:pPr>
              <w:pStyle w:val="TableParagraph"/>
              <w:spacing w:line="360" w:lineRule="auto"/>
            </w:pPr>
            <w:r>
              <w:t>2.1</w:t>
            </w:r>
            <w:r>
              <w:rPr>
                <w:spacing w:val="20"/>
              </w:rPr>
              <w:t xml:space="preserve"> </w:t>
            </w:r>
            <w:r>
              <w:t>Supporting</w:t>
            </w:r>
            <w:r>
              <w:rPr>
                <w:spacing w:val="21"/>
              </w:rPr>
              <w:t xml:space="preserve"> </w:t>
            </w:r>
            <w:r>
              <w:t>transition</w:t>
            </w:r>
            <w:r>
              <w:rPr>
                <w:spacing w:val="21"/>
              </w:rPr>
              <w:t xml:space="preserve"> </w:t>
            </w:r>
            <w:r>
              <w:t>towards</w:t>
            </w:r>
            <w:r>
              <w:rPr>
                <w:spacing w:val="21"/>
              </w:rPr>
              <w:t xml:space="preserve"> </w:t>
            </w:r>
            <w:r>
              <w:t>green</w:t>
            </w:r>
            <w:r>
              <w:rPr>
                <w:spacing w:val="21"/>
              </w:rPr>
              <w:t xml:space="preserve"> </w:t>
            </w:r>
            <w:r>
              <w:rPr>
                <w:spacing w:val="-2"/>
              </w:rPr>
              <w:t>energy</w:t>
            </w:r>
          </w:p>
        </w:tc>
      </w:tr>
      <w:tr w:rsidR="00F36548" w:rsidRPr="00805C22" w14:paraId="14515CC6" w14:textId="77777777" w:rsidTr="000473CC">
        <w:trPr>
          <w:trHeight w:val="505"/>
        </w:trPr>
        <w:tc>
          <w:tcPr>
            <w:tcW w:w="3451" w:type="dxa"/>
            <w:vMerge/>
            <w:tcBorders>
              <w:top w:val="nil"/>
            </w:tcBorders>
            <w:vAlign w:val="center"/>
          </w:tcPr>
          <w:p w14:paraId="05E5EDB5" w14:textId="77777777" w:rsidR="00F36548" w:rsidRPr="001060E6" w:rsidRDefault="00F36548" w:rsidP="003C58C0">
            <w:pPr>
              <w:pStyle w:val="TableParagraph"/>
              <w:spacing w:line="360" w:lineRule="auto"/>
              <w:rPr>
                <w:w w:val="105"/>
              </w:rPr>
            </w:pPr>
          </w:p>
        </w:tc>
        <w:tc>
          <w:tcPr>
            <w:tcW w:w="5624" w:type="dxa"/>
            <w:vAlign w:val="center"/>
          </w:tcPr>
          <w:p w14:paraId="60DCDE84" w14:textId="77777777" w:rsidR="00F36548" w:rsidRDefault="00F36548" w:rsidP="003C58C0">
            <w:pPr>
              <w:pStyle w:val="TableParagraph"/>
              <w:spacing w:line="360" w:lineRule="auto"/>
            </w:pPr>
            <w:r>
              <w:rPr>
                <w:w w:val="105"/>
              </w:rPr>
              <w:t>2.2</w:t>
            </w:r>
            <w:r>
              <w:rPr>
                <w:spacing w:val="-13"/>
                <w:w w:val="105"/>
              </w:rPr>
              <w:t xml:space="preserve"> </w:t>
            </w:r>
            <w:r>
              <w:rPr>
                <w:w w:val="105"/>
              </w:rPr>
              <w:t>Promoting</w:t>
            </w:r>
            <w:r>
              <w:rPr>
                <w:spacing w:val="-13"/>
                <w:w w:val="105"/>
              </w:rPr>
              <w:t xml:space="preserve"> </w:t>
            </w:r>
            <w:r>
              <w:rPr>
                <w:w w:val="105"/>
              </w:rPr>
              <w:t>sustainable</w:t>
            </w:r>
            <w:r>
              <w:rPr>
                <w:spacing w:val="-13"/>
                <w:w w:val="105"/>
              </w:rPr>
              <w:t xml:space="preserve"> </w:t>
            </w:r>
            <w:r>
              <w:rPr>
                <w:w w:val="105"/>
              </w:rPr>
              <w:t>use</w:t>
            </w:r>
            <w:r>
              <w:rPr>
                <w:spacing w:val="-13"/>
                <w:w w:val="105"/>
              </w:rPr>
              <w:t xml:space="preserve"> </w:t>
            </w:r>
            <w:r>
              <w:rPr>
                <w:w w:val="105"/>
              </w:rPr>
              <w:t>of</w:t>
            </w:r>
            <w:r>
              <w:rPr>
                <w:spacing w:val="-13"/>
                <w:w w:val="105"/>
              </w:rPr>
              <w:t xml:space="preserve"> </w:t>
            </w:r>
            <w:r>
              <w:rPr>
                <w:spacing w:val="-2"/>
                <w:w w:val="105"/>
              </w:rPr>
              <w:t>water</w:t>
            </w:r>
          </w:p>
        </w:tc>
      </w:tr>
      <w:tr w:rsidR="00F36548" w:rsidRPr="00805C22" w14:paraId="115E27C0" w14:textId="77777777" w:rsidTr="000473CC">
        <w:trPr>
          <w:trHeight w:val="732"/>
        </w:trPr>
        <w:tc>
          <w:tcPr>
            <w:tcW w:w="3451" w:type="dxa"/>
            <w:vMerge/>
            <w:tcBorders>
              <w:top w:val="nil"/>
            </w:tcBorders>
            <w:vAlign w:val="center"/>
          </w:tcPr>
          <w:p w14:paraId="1060E436" w14:textId="77777777" w:rsidR="00F36548" w:rsidRPr="001060E6" w:rsidRDefault="00F36548" w:rsidP="003C58C0">
            <w:pPr>
              <w:pStyle w:val="TableParagraph"/>
              <w:spacing w:line="360" w:lineRule="auto"/>
              <w:rPr>
                <w:w w:val="105"/>
              </w:rPr>
            </w:pPr>
          </w:p>
        </w:tc>
        <w:tc>
          <w:tcPr>
            <w:tcW w:w="5624" w:type="dxa"/>
            <w:vAlign w:val="center"/>
          </w:tcPr>
          <w:p w14:paraId="07A2F358" w14:textId="6BC04072" w:rsidR="00F36548" w:rsidRPr="00985206" w:rsidRDefault="00F36548" w:rsidP="003C58C0">
            <w:pPr>
              <w:pStyle w:val="TableParagraph"/>
              <w:spacing w:line="360" w:lineRule="auto"/>
              <w:rPr>
                <w:w w:val="105"/>
              </w:rPr>
            </w:pPr>
            <w:r>
              <w:rPr>
                <w:w w:val="105"/>
              </w:rPr>
              <w:t>2.3</w:t>
            </w:r>
            <w:r>
              <w:rPr>
                <w:spacing w:val="-14"/>
                <w:w w:val="105"/>
              </w:rPr>
              <w:t xml:space="preserve"> </w:t>
            </w:r>
            <w:r>
              <w:rPr>
                <w:w w:val="105"/>
              </w:rPr>
              <w:t>Sup</w:t>
            </w:r>
            <w:r w:rsidRPr="00985206">
              <w:rPr>
                <w:w w:val="105"/>
              </w:rPr>
              <w:t xml:space="preserve">porting a circular and more resource </w:t>
            </w:r>
            <w:r>
              <w:rPr>
                <w:w w:val="105"/>
              </w:rPr>
              <w:t>eﬃcient</w:t>
            </w:r>
            <w:r w:rsidR="00985206">
              <w:rPr>
                <w:w w:val="105"/>
              </w:rPr>
              <w:t xml:space="preserve"> </w:t>
            </w:r>
            <w:r>
              <w:rPr>
                <w:w w:val="105"/>
              </w:rPr>
              <w:t>development</w:t>
            </w:r>
          </w:p>
        </w:tc>
      </w:tr>
      <w:tr w:rsidR="00F36548" w:rsidRPr="00805C22" w14:paraId="79EA8A7B" w14:textId="77777777" w:rsidTr="000473CC">
        <w:trPr>
          <w:trHeight w:val="670"/>
        </w:trPr>
        <w:tc>
          <w:tcPr>
            <w:tcW w:w="3451" w:type="dxa"/>
            <w:vAlign w:val="center"/>
          </w:tcPr>
          <w:p w14:paraId="6427ADBD" w14:textId="77777777" w:rsidR="00F36548" w:rsidRPr="001060E6" w:rsidRDefault="00F36548" w:rsidP="003C58C0">
            <w:pPr>
              <w:pStyle w:val="TableParagraph"/>
              <w:spacing w:line="360" w:lineRule="auto"/>
              <w:rPr>
                <w:w w:val="105"/>
              </w:rPr>
            </w:pPr>
            <w:r w:rsidRPr="001060E6">
              <w:rPr>
                <w:w w:val="105"/>
              </w:rPr>
              <w:t>PRIORITY 3 –</w:t>
            </w:r>
          </w:p>
          <w:p w14:paraId="61412651" w14:textId="77777777" w:rsidR="00F36548" w:rsidRPr="001060E6" w:rsidRDefault="00F36548" w:rsidP="003C58C0">
            <w:pPr>
              <w:pStyle w:val="TableParagraph"/>
              <w:spacing w:line="360" w:lineRule="auto"/>
              <w:rPr>
                <w:w w:val="105"/>
              </w:rPr>
            </w:pPr>
            <w:r w:rsidRPr="001060E6">
              <w:rPr>
                <w:w w:val="105"/>
              </w:rPr>
              <w:t>Attractive South Baltic</w:t>
            </w:r>
          </w:p>
        </w:tc>
        <w:tc>
          <w:tcPr>
            <w:tcW w:w="5624" w:type="dxa"/>
            <w:vAlign w:val="center"/>
          </w:tcPr>
          <w:p w14:paraId="1B67D888" w14:textId="0AB62E50" w:rsidR="00F36548" w:rsidRDefault="00F36548" w:rsidP="003C58C0">
            <w:pPr>
              <w:pStyle w:val="TableParagraph"/>
              <w:spacing w:line="360" w:lineRule="auto"/>
            </w:pPr>
            <w:r>
              <w:t xml:space="preserve">3.1 Developing sustainable, </w:t>
            </w:r>
            <w:r w:rsidR="00985206">
              <w:t>resilient,</w:t>
            </w:r>
            <w:r>
              <w:t xml:space="preserve"> and </w:t>
            </w:r>
            <w:r>
              <w:rPr>
                <w:w w:val="105"/>
              </w:rPr>
              <w:t>innovative tourism</w:t>
            </w:r>
          </w:p>
        </w:tc>
      </w:tr>
      <w:tr w:rsidR="00F36548" w:rsidRPr="00805C22" w14:paraId="4D322954" w14:textId="77777777" w:rsidTr="00622B72">
        <w:trPr>
          <w:trHeight w:val="429"/>
        </w:trPr>
        <w:tc>
          <w:tcPr>
            <w:tcW w:w="3451" w:type="dxa"/>
            <w:vAlign w:val="center"/>
          </w:tcPr>
          <w:p w14:paraId="35CF8FEA" w14:textId="77777777" w:rsidR="00F36548" w:rsidRPr="001060E6" w:rsidRDefault="00F36548" w:rsidP="003C58C0">
            <w:pPr>
              <w:pStyle w:val="TableParagraph"/>
              <w:spacing w:line="360" w:lineRule="auto"/>
              <w:rPr>
                <w:w w:val="105"/>
              </w:rPr>
            </w:pPr>
            <w:r w:rsidRPr="001060E6">
              <w:rPr>
                <w:w w:val="105"/>
              </w:rPr>
              <w:t>PRIORITY 4 –</w:t>
            </w:r>
          </w:p>
          <w:p w14:paraId="76D0C7F7" w14:textId="77777777" w:rsidR="00F36548" w:rsidRPr="001060E6" w:rsidRDefault="00F36548" w:rsidP="003C58C0">
            <w:pPr>
              <w:pStyle w:val="TableParagraph"/>
              <w:spacing w:line="360" w:lineRule="auto"/>
              <w:rPr>
                <w:w w:val="105"/>
              </w:rPr>
            </w:pPr>
            <w:r w:rsidRPr="001060E6">
              <w:rPr>
                <w:w w:val="105"/>
              </w:rPr>
              <w:t>Active South Baltic</w:t>
            </w:r>
          </w:p>
        </w:tc>
        <w:tc>
          <w:tcPr>
            <w:tcW w:w="5624" w:type="dxa"/>
            <w:vAlign w:val="center"/>
          </w:tcPr>
          <w:p w14:paraId="42944544" w14:textId="77777777" w:rsidR="00F36548" w:rsidRDefault="00F36548" w:rsidP="003C58C0">
            <w:pPr>
              <w:pStyle w:val="TableParagraph"/>
              <w:spacing w:line="360" w:lineRule="auto"/>
            </w:pPr>
            <w:r>
              <w:rPr>
                <w:spacing w:val="-2"/>
                <w:w w:val="105"/>
              </w:rPr>
              <w:t>4.1</w:t>
            </w:r>
            <w:r>
              <w:rPr>
                <w:spacing w:val="-7"/>
                <w:w w:val="105"/>
              </w:rPr>
              <w:t xml:space="preserve"> </w:t>
            </w:r>
            <w:r>
              <w:rPr>
                <w:spacing w:val="-2"/>
                <w:w w:val="105"/>
              </w:rPr>
              <w:t>Strengthen</w:t>
            </w:r>
            <w:r>
              <w:rPr>
                <w:spacing w:val="-7"/>
                <w:w w:val="105"/>
              </w:rPr>
              <w:t xml:space="preserve"> </w:t>
            </w:r>
            <w:r>
              <w:rPr>
                <w:spacing w:val="-2"/>
                <w:w w:val="105"/>
              </w:rPr>
              <w:t>the</w:t>
            </w:r>
            <w:r>
              <w:rPr>
                <w:spacing w:val="-7"/>
                <w:w w:val="105"/>
              </w:rPr>
              <w:t xml:space="preserve"> </w:t>
            </w:r>
            <w:r>
              <w:rPr>
                <w:spacing w:val="-2"/>
                <w:w w:val="105"/>
              </w:rPr>
              <w:t>cooperation</w:t>
            </w:r>
            <w:r>
              <w:rPr>
                <w:spacing w:val="-7"/>
                <w:w w:val="105"/>
              </w:rPr>
              <w:t xml:space="preserve"> </w:t>
            </w:r>
            <w:r>
              <w:rPr>
                <w:spacing w:val="-2"/>
                <w:w w:val="105"/>
              </w:rPr>
              <w:t>capacity</w:t>
            </w:r>
            <w:r>
              <w:rPr>
                <w:spacing w:val="-7"/>
                <w:w w:val="105"/>
              </w:rPr>
              <w:t xml:space="preserve"> </w:t>
            </w:r>
            <w:r>
              <w:rPr>
                <w:spacing w:val="-2"/>
                <w:w w:val="105"/>
              </w:rPr>
              <w:t>of</w:t>
            </w:r>
            <w:r>
              <w:rPr>
                <w:spacing w:val="-7"/>
                <w:w w:val="105"/>
              </w:rPr>
              <w:t xml:space="preserve"> </w:t>
            </w:r>
            <w:r>
              <w:rPr>
                <w:spacing w:val="-2"/>
                <w:w w:val="105"/>
              </w:rPr>
              <w:t>actors</w:t>
            </w:r>
            <w:r>
              <w:rPr>
                <w:spacing w:val="-7"/>
                <w:w w:val="105"/>
              </w:rPr>
              <w:t xml:space="preserve"> </w:t>
            </w:r>
            <w:r>
              <w:rPr>
                <w:spacing w:val="-2"/>
                <w:w w:val="105"/>
              </w:rPr>
              <w:t xml:space="preserve">based </w:t>
            </w:r>
            <w:r>
              <w:rPr>
                <w:w w:val="105"/>
              </w:rPr>
              <w:t>within the South Baltic Area (including civil society)</w:t>
            </w:r>
          </w:p>
        </w:tc>
      </w:tr>
    </w:tbl>
    <w:p w14:paraId="375FD74C" w14:textId="77777777" w:rsidR="000E5956" w:rsidRDefault="000E5956" w:rsidP="003C58C0">
      <w:pPr>
        <w:spacing w:line="360" w:lineRule="auto"/>
      </w:pPr>
    </w:p>
    <w:p w14:paraId="09A35140" w14:textId="529BA042" w:rsidR="009054FC" w:rsidRDefault="00736C10" w:rsidP="003C58C0">
      <w:pPr>
        <w:spacing w:line="360" w:lineRule="auto"/>
      </w:pPr>
      <w:r w:rsidRPr="00665C29">
        <w:t xml:space="preserve">A comprehensive description of the </w:t>
      </w:r>
      <w:r w:rsidR="00100F70" w:rsidRPr="00665C29">
        <w:t>Programme measures, indicators, main target groups</w:t>
      </w:r>
      <w:r w:rsidRPr="00665C29">
        <w:t xml:space="preserve">, </w:t>
      </w:r>
      <w:r w:rsidR="00100F70" w:rsidRPr="00665C29">
        <w:t xml:space="preserve">and exemplary types of project partners </w:t>
      </w:r>
      <w:r w:rsidRPr="00665C29">
        <w:t xml:space="preserve">is outlined in the </w:t>
      </w:r>
      <w:hyperlink r:id="rId19" w:history="1">
        <w:r w:rsidR="00665C29" w:rsidRPr="0093369F">
          <w:rPr>
            <w:rFonts w:ascii="Open Sans ExtraBold"/>
            <w:b/>
            <w:color w:val="003399"/>
            <w:spacing w:val="-2"/>
          </w:rPr>
          <w:t>Programme document</w:t>
        </w:r>
      </w:hyperlink>
      <w:r w:rsidR="00665C29" w:rsidRPr="004A0DA4">
        <w:t>.</w:t>
      </w:r>
    </w:p>
    <w:p w14:paraId="296BD1F0" w14:textId="2121A7C4" w:rsidR="00D52F31" w:rsidRPr="00D52F31" w:rsidRDefault="00D52F31" w:rsidP="003C58C0">
      <w:pPr>
        <w:pStyle w:val="Heading2"/>
        <w:spacing w:line="360" w:lineRule="auto"/>
      </w:pPr>
      <w:bookmarkStart w:id="23" w:name="_Toc147242375"/>
      <w:r w:rsidRPr="004A0DA4">
        <w:t xml:space="preserve">1 </w:t>
      </w:r>
      <w:r w:rsidR="0089529E">
        <w:t>PRIORITY 1</w:t>
      </w:r>
      <w:r>
        <w:t xml:space="preserve"> – Innovative South Baltic – enhancing level of innovation and internationalization of local actors</w:t>
      </w:r>
      <w:bookmarkEnd w:id="23"/>
    </w:p>
    <w:p w14:paraId="3B0ED310" w14:textId="1EA1349B" w:rsidR="00736C10" w:rsidRPr="00AF2B0C" w:rsidRDefault="00736C10" w:rsidP="003C58C0">
      <w:pPr>
        <w:spacing w:line="360" w:lineRule="auto"/>
        <w:rPr>
          <w:rFonts w:ascii="Open Sans SemiBold" w:eastAsia="Open Sans SemiBold" w:hAnsi="Open Sans SemiBold" w:cs="Open Sans SemiBold"/>
          <w:b/>
          <w:color w:val="003399"/>
          <w:szCs w:val="24"/>
        </w:rPr>
      </w:pPr>
      <w:r w:rsidRPr="00AF2B0C">
        <w:rPr>
          <w:rFonts w:ascii="Open Sans SemiBold" w:eastAsia="Open Sans SemiBold" w:hAnsi="Open Sans SemiBold" w:cs="Open Sans SemiBold"/>
          <w:b/>
          <w:color w:val="003399"/>
          <w:szCs w:val="24"/>
        </w:rPr>
        <w:t>Programme Measure 1.1: Digit</w:t>
      </w:r>
      <w:r w:rsidR="00FB7855" w:rsidRPr="00AF2B0C">
        <w:rPr>
          <w:rFonts w:ascii="Open Sans SemiBold" w:eastAsia="Open Sans SemiBold" w:hAnsi="Open Sans SemiBold" w:cs="Open Sans SemiBold"/>
          <w:b/>
          <w:color w:val="003399"/>
          <w:szCs w:val="24"/>
        </w:rPr>
        <w:t>i</w:t>
      </w:r>
      <w:r w:rsidRPr="00AF2B0C">
        <w:rPr>
          <w:rFonts w:ascii="Open Sans SemiBold" w:eastAsia="Open Sans SemiBold" w:hAnsi="Open Sans SemiBold" w:cs="Open Sans SemiBold"/>
          <w:b/>
          <w:color w:val="003399"/>
          <w:szCs w:val="24"/>
        </w:rPr>
        <w:t>lising the region</w:t>
      </w:r>
    </w:p>
    <w:p w14:paraId="42C3EC7F" w14:textId="224F58DB" w:rsidR="00736C10" w:rsidRPr="00AF2B0C" w:rsidRDefault="00736C10" w:rsidP="003C58C0">
      <w:pPr>
        <w:spacing w:line="360" w:lineRule="auto"/>
      </w:pPr>
      <w:r w:rsidRPr="00AF2B0C">
        <w:t xml:space="preserve">The South Baltic </w:t>
      </w:r>
      <w:r w:rsidR="000A78E0" w:rsidRPr="00AF2B0C">
        <w:t>a</w:t>
      </w:r>
      <w:r w:rsidRPr="00AF2B0C">
        <w:t>rea has significant economic potential, however in the present days</w:t>
      </w:r>
      <w:r w:rsidR="00E94A00" w:rsidRPr="00AF2B0C">
        <w:t>,</w:t>
      </w:r>
      <w:r w:rsidRPr="00AF2B0C">
        <w:t xml:space="preserve"> innovative approaches still require stimulation and support. </w:t>
      </w:r>
      <w:r w:rsidR="00E94A00" w:rsidRPr="00AF2B0C">
        <w:t xml:space="preserve">The digitalisation </w:t>
      </w:r>
      <w:r w:rsidRPr="00AF2B0C">
        <w:t xml:space="preserve">of public services and increasing the level of digitalisation of different sectors will lead to integrated services and stronger connectivity within </w:t>
      </w:r>
      <w:r w:rsidRPr="00AF2B0C">
        <w:lastRenderedPageBreak/>
        <w:t xml:space="preserve">the South Baltic </w:t>
      </w:r>
      <w:r w:rsidR="00973F8B" w:rsidRPr="00AF2B0C">
        <w:t>a</w:t>
      </w:r>
      <w:r w:rsidRPr="00AF2B0C">
        <w:t xml:space="preserve">rea. It will support </w:t>
      </w:r>
      <w:r w:rsidR="00E94A00" w:rsidRPr="00AF2B0C">
        <w:t xml:space="preserve">the </w:t>
      </w:r>
      <w:r w:rsidRPr="00AF2B0C">
        <w:t>development of digital skills and boost development</w:t>
      </w:r>
      <w:r w:rsidR="00E94A00" w:rsidRPr="00AF2B0C">
        <w:t>,</w:t>
      </w:r>
      <w:r w:rsidRPr="00AF2B0C">
        <w:t xml:space="preserve"> especially of sectors related to the blue and green economy.</w:t>
      </w:r>
    </w:p>
    <w:p w14:paraId="71549C40" w14:textId="77777777" w:rsidR="00736C10" w:rsidRPr="00AF2B0C" w:rsidRDefault="00736C10" w:rsidP="003C58C0">
      <w:pPr>
        <w:spacing w:line="360" w:lineRule="auto"/>
      </w:pPr>
      <w:r w:rsidRPr="00AF2B0C">
        <w:t>The Measure supports:</w:t>
      </w:r>
    </w:p>
    <w:p w14:paraId="29DD4AE3" w14:textId="35635580" w:rsidR="00737C40" w:rsidRPr="00AF2B0C" w:rsidRDefault="00736C10" w:rsidP="003C58C0">
      <w:pPr>
        <w:pStyle w:val="ListParagraph"/>
        <w:numPr>
          <w:ilvl w:val="0"/>
          <w:numId w:val="37"/>
        </w:numPr>
        <w:spacing w:line="360" w:lineRule="auto"/>
      </w:pPr>
      <w:r w:rsidRPr="00AF2B0C">
        <w:t xml:space="preserve">Increase of the </w:t>
      </w:r>
      <w:r w:rsidR="00A26C83" w:rsidRPr="00AF2B0C">
        <w:t xml:space="preserve">digitalisation </w:t>
      </w:r>
      <w:r w:rsidRPr="00AF2B0C">
        <w:t xml:space="preserve">level of different sectors of </w:t>
      </w:r>
      <w:r w:rsidR="00E94A00" w:rsidRPr="00AF2B0C">
        <w:t xml:space="preserve">the </w:t>
      </w:r>
      <w:r w:rsidRPr="00AF2B0C">
        <w:t>regional economy.</w:t>
      </w:r>
    </w:p>
    <w:p w14:paraId="496410E2" w14:textId="77777777" w:rsidR="00F36548" w:rsidRPr="00AF2B0C" w:rsidRDefault="00736C10" w:rsidP="003C58C0">
      <w:pPr>
        <w:pStyle w:val="ListParagraph"/>
        <w:numPr>
          <w:ilvl w:val="0"/>
          <w:numId w:val="37"/>
        </w:numPr>
        <w:spacing w:line="360" w:lineRule="auto"/>
      </w:pPr>
      <w:r w:rsidRPr="00AF2B0C">
        <w:t>Development of digital connectivity, strengthening solutions in the field of artificial intelligence and cybersecurity.</w:t>
      </w:r>
    </w:p>
    <w:p w14:paraId="49754CB1" w14:textId="7EF64939" w:rsidR="00736C10" w:rsidRPr="00AF2B0C" w:rsidRDefault="00355B93" w:rsidP="003C58C0">
      <w:pPr>
        <w:pStyle w:val="ListParagraph"/>
        <w:numPr>
          <w:ilvl w:val="0"/>
          <w:numId w:val="37"/>
        </w:numPr>
        <w:spacing w:line="360" w:lineRule="auto"/>
      </w:pPr>
      <w:r w:rsidRPr="00AF2B0C">
        <w:t>Technology transfer between regions and strengthening cooperation in the cross-border dimension.</w:t>
      </w:r>
    </w:p>
    <w:p w14:paraId="340BEE34" w14:textId="77777777" w:rsidR="00736C10" w:rsidRPr="00F36548" w:rsidRDefault="00736C10" w:rsidP="003C58C0">
      <w:pPr>
        <w:spacing w:line="360" w:lineRule="auto"/>
      </w:pPr>
      <w:r w:rsidRPr="00AF2B0C">
        <w:t>The indicative list</w:t>
      </w:r>
      <w:r w:rsidRPr="00F36548">
        <w:t xml:space="preserve"> of cross-border activities includes:</w:t>
      </w:r>
    </w:p>
    <w:p w14:paraId="11BD5D22" w14:textId="77777777" w:rsidR="002E2B63" w:rsidRDefault="00736C10" w:rsidP="003C58C0">
      <w:pPr>
        <w:pStyle w:val="ListParagraph"/>
        <w:numPr>
          <w:ilvl w:val="0"/>
          <w:numId w:val="38"/>
        </w:numPr>
        <w:spacing w:line="360" w:lineRule="auto"/>
      </w:pPr>
      <w:r w:rsidRPr="00F36548">
        <w:t>Development</w:t>
      </w:r>
      <w:r w:rsidR="009A4BB1" w:rsidRPr="00F36548">
        <w:t xml:space="preserve">, </w:t>
      </w:r>
      <w:r w:rsidR="00865D95" w:rsidRPr="00F36548">
        <w:t xml:space="preserve">demonstration </w:t>
      </w:r>
      <w:r w:rsidRPr="00F36548">
        <w:t>and implementation of solutions for the digitisation of:</w:t>
      </w:r>
    </w:p>
    <w:p w14:paraId="1F280F0E" w14:textId="6E897575" w:rsidR="002E2B63" w:rsidRDefault="00736C10" w:rsidP="003C58C0">
      <w:pPr>
        <w:pStyle w:val="ListParagraph"/>
        <w:numPr>
          <w:ilvl w:val="0"/>
          <w:numId w:val="39"/>
        </w:numPr>
        <w:spacing w:line="360" w:lineRule="auto"/>
      </w:pPr>
      <w:r w:rsidRPr="002E2B63">
        <w:t xml:space="preserve">public services, e.g., </w:t>
      </w:r>
      <w:r w:rsidR="002C30A8" w:rsidRPr="002E2B63">
        <w:t>developing inclusive new e-services</w:t>
      </w:r>
      <w:r w:rsidRPr="002E2B63">
        <w:t>: transport (e-ticketing), healthcare (e-care)</w:t>
      </w:r>
    </w:p>
    <w:p w14:paraId="39417E6A" w14:textId="2A6C025D" w:rsidR="002E2B63" w:rsidRDefault="00736C10" w:rsidP="003C58C0">
      <w:pPr>
        <w:pStyle w:val="ListParagraph"/>
        <w:numPr>
          <w:ilvl w:val="0"/>
          <w:numId w:val="39"/>
        </w:numPr>
        <w:spacing w:line="360" w:lineRule="auto"/>
      </w:pPr>
      <w:r w:rsidRPr="002E2B63">
        <w:t>processes in different sectors</w:t>
      </w:r>
      <w:r w:rsidR="009C1E8B" w:rsidRPr="002E2B63">
        <w:t xml:space="preserve">, </w:t>
      </w:r>
      <w:r w:rsidRPr="002E2B63">
        <w:t>e.g.,</w:t>
      </w:r>
      <w:r w:rsidR="00947D71" w:rsidRPr="002E2B63">
        <w:t xml:space="preserve"> </w:t>
      </w:r>
      <w:r w:rsidR="00837E10" w:rsidRPr="002E2B63">
        <w:t>in maritime</w:t>
      </w:r>
      <w:r w:rsidR="00D53FDB" w:rsidRPr="002E2B63">
        <w:t xml:space="preserve"> in </w:t>
      </w:r>
      <w:r w:rsidR="00865D95" w:rsidRPr="002E2B63">
        <w:t xml:space="preserve">the </w:t>
      </w:r>
      <w:r w:rsidR="00D53FDB" w:rsidRPr="002E2B63">
        <w:t xml:space="preserve">form of </w:t>
      </w:r>
      <w:r w:rsidRPr="002E2B63">
        <w:t xml:space="preserve">joint security standards and applications for small ports, in logistics </w:t>
      </w:r>
      <w:r w:rsidR="00D53FDB" w:rsidRPr="002E2B63">
        <w:t xml:space="preserve">in </w:t>
      </w:r>
      <w:r w:rsidR="00865D95" w:rsidRPr="002E2B63">
        <w:t xml:space="preserve">the </w:t>
      </w:r>
      <w:r w:rsidR="00D53FDB" w:rsidRPr="002E2B63">
        <w:t xml:space="preserve">form of </w:t>
      </w:r>
      <w:r w:rsidRPr="002E2B63">
        <w:t>optimi</w:t>
      </w:r>
      <w:r w:rsidR="004C3F0F" w:rsidRPr="002E2B63">
        <w:t>s</w:t>
      </w:r>
      <w:r w:rsidRPr="002E2B63">
        <w:t xml:space="preserve">ation of </w:t>
      </w:r>
      <w:r w:rsidR="00865D95" w:rsidRPr="002E2B63">
        <w:t xml:space="preserve">the </w:t>
      </w:r>
      <w:r w:rsidRPr="002E2B63">
        <w:t>transport of passengers and goods</w:t>
      </w:r>
    </w:p>
    <w:p w14:paraId="3CEEA1B6" w14:textId="45ACB226" w:rsidR="00737C40" w:rsidRPr="002E2B63" w:rsidRDefault="00736C10" w:rsidP="003C58C0">
      <w:pPr>
        <w:pStyle w:val="ListParagraph"/>
        <w:numPr>
          <w:ilvl w:val="0"/>
          <w:numId w:val="39"/>
        </w:numPr>
        <w:spacing w:line="360" w:lineRule="auto"/>
      </w:pPr>
      <w:r w:rsidRPr="002E2B63">
        <w:t>learning modalities that focus on digitalisation</w:t>
      </w:r>
      <w:r w:rsidR="009C1E8B" w:rsidRPr="002E2B63">
        <w:t xml:space="preserve">, </w:t>
      </w:r>
      <w:r w:rsidRPr="002E2B63">
        <w:t>e.g., online tools, apps</w:t>
      </w:r>
      <w:r w:rsidR="003264E6" w:rsidRPr="002E2B63">
        <w:t xml:space="preserve"> in the most relevant sectors</w:t>
      </w:r>
      <w:r w:rsidR="007628D4">
        <w:t>.</w:t>
      </w:r>
    </w:p>
    <w:p w14:paraId="49A180BA" w14:textId="73FCAB74" w:rsidR="00737C40" w:rsidRPr="00F36548" w:rsidRDefault="00736C10" w:rsidP="003C58C0">
      <w:pPr>
        <w:pStyle w:val="ListParagraph"/>
        <w:numPr>
          <w:ilvl w:val="0"/>
          <w:numId w:val="38"/>
        </w:numPr>
        <w:spacing w:line="360" w:lineRule="auto"/>
      </w:pPr>
      <w:r w:rsidRPr="00F36548">
        <w:t>Collaborative actions</w:t>
      </w:r>
      <w:r w:rsidR="00947D71" w:rsidRPr="00F36548">
        <w:t xml:space="preserve"> aimed at</w:t>
      </w:r>
      <w:r w:rsidRPr="00F36548">
        <w:t>:</w:t>
      </w:r>
    </w:p>
    <w:p w14:paraId="2AD60F58" w14:textId="77EC2392" w:rsidR="00737C40" w:rsidRPr="002E2B63" w:rsidRDefault="00947D71" w:rsidP="003C58C0">
      <w:pPr>
        <w:pStyle w:val="ListParagraph"/>
        <w:numPr>
          <w:ilvl w:val="0"/>
          <w:numId w:val="39"/>
        </w:numPr>
        <w:spacing w:line="360" w:lineRule="auto"/>
      </w:pPr>
      <w:r w:rsidRPr="002E2B63">
        <w:t>building platforms for cooperation of digital innovation hubs</w:t>
      </w:r>
      <w:r w:rsidR="00D07B80" w:rsidRPr="002E2B63">
        <w:t>/</w:t>
      </w:r>
      <w:r w:rsidRPr="002E2B63">
        <w:t>universities</w:t>
      </w:r>
      <w:r w:rsidR="00D07B80" w:rsidRPr="002E2B63">
        <w:t>/</w:t>
      </w:r>
      <w:r w:rsidRPr="002E2B63">
        <w:t>R&amp;D institutions and SMEs</w:t>
      </w:r>
    </w:p>
    <w:p w14:paraId="1C8741D4" w14:textId="391D8A28" w:rsidR="00736C10" w:rsidRPr="002E2B63" w:rsidRDefault="00947D71" w:rsidP="003C58C0">
      <w:pPr>
        <w:pStyle w:val="ListParagraph"/>
        <w:numPr>
          <w:ilvl w:val="0"/>
          <w:numId w:val="39"/>
        </w:numPr>
        <w:spacing w:line="360" w:lineRule="auto"/>
      </w:pPr>
      <w:r w:rsidRPr="002E2B63">
        <w:t>promotion of digitalisation processes and new digital solutions</w:t>
      </w:r>
      <w:r w:rsidR="009C1E8B" w:rsidRPr="002E2B63">
        <w:t xml:space="preserve">, </w:t>
      </w:r>
      <w:r w:rsidRPr="002E2B63">
        <w:t xml:space="preserve">e.g., </w:t>
      </w:r>
      <w:r w:rsidR="00EA18D4" w:rsidRPr="002E2B63">
        <w:t xml:space="preserve">cross-border </w:t>
      </w:r>
      <w:r w:rsidRPr="002E2B63">
        <w:t>promotion campaigns</w:t>
      </w:r>
    </w:p>
    <w:p w14:paraId="1A0E2E0E" w14:textId="7A5BA34D" w:rsidR="00947D71" w:rsidRPr="002E2B63" w:rsidRDefault="00947D71" w:rsidP="003C58C0">
      <w:pPr>
        <w:pStyle w:val="ListParagraph"/>
        <w:numPr>
          <w:ilvl w:val="0"/>
          <w:numId w:val="39"/>
        </w:numPr>
        <w:spacing w:line="360" w:lineRule="auto"/>
      </w:pPr>
      <w:r w:rsidRPr="002E2B63">
        <w:t>enhancing social aspects of digitalisation, e.g., development of e-services for elderly people and</w:t>
      </w:r>
      <w:r w:rsidR="00D07B80" w:rsidRPr="002E2B63">
        <w:t>/</w:t>
      </w:r>
      <w:r w:rsidRPr="002E2B63">
        <w:t>or people with disabilities.</w:t>
      </w:r>
    </w:p>
    <w:p w14:paraId="5B12A49B" w14:textId="52EDD71E" w:rsidR="00737C40" w:rsidRPr="00F36548" w:rsidRDefault="00736C10" w:rsidP="003C58C0">
      <w:pPr>
        <w:pStyle w:val="ListParagraph"/>
        <w:numPr>
          <w:ilvl w:val="0"/>
          <w:numId w:val="38"/>
        </w:numPr>
        <w:spacing w:line="360" w:lineRule="auto"/>
      </w:pPr>
      <w:r w:rsidRPr="00F36548">
        <w:lastRenderedPageBreak/>
        <w:t xml:space="preserve">Support </w:t>
      </w:r>
      <w:r w:rsidR="00865D95" w:rsidRPr="00F36548">
        <w:t xml:space="preserve">for the </w:t>
      </w:r>
      <w:r w:rsidRPr="00F36548">
        <w:t xml:space="preserve">development </w:t>
      </w:r>
      <w:r w:rsidR="00865D95" w:rsidRPr="00F36548">
        <w:t xml:space="preserve">of </w:t>
      </w:r>
      <w:r w:rsidR="003C6DB5" w:rsidRPr="00F36548">
        <w:t xml:space="preserve">specific digital competences of the employees of public sector </w:t>
      </w:r>
      <w:r w:rsidR="00865D95" w:rsidRPr="00F36548">
        <w:t xml:space="preserve">institutions </w:t>
      </w:r>
      <w:r w:rsidR="003C6DB5" w:rsidRPr="00F36548">
        <w:t>related to the integration of jointly developed digital solutions to public administration processes.</w:t>
      </w:r>
    </w:p>
    <w:p w14:paraId="3E8E19F7" w14:textId="5F79E8D9" w:rsidR="002E2B63" w:rsidRPr="002E2B63" w:rsidRDefault="00736C10" w:rsidP="003C58C0">
      <w:pPr>
        <w:pStyle w:val="ListParagraph"/>
        <w:numPr>
          <w:ilvl w:val="0"/>
          <w:numId w:val="38"/>
        </w:numPr>
        <w:spacing w:line="360" w:lineRule="auto"/>
      </w:pPr>
      <w:r w:rsidRPr="00F36548">
        <w:t>Transfer of knowledge on technical standards and the exchange of best practice</w:t>
      </w:r>
      <w:r w:rsidR="00865D95" w:rsidRPr="00F36548">
        <w:t>s</w:t>
      </w:r>
      <w:r w:rsidRPr="00F36548">
        <w:t xml:space="preserve"> between regions.</w:t>
      </w:r>
    </w:p>
    <w:p w14:paraId="60D60941" w14:textId="21C6B42B" w:rsidR="00141E13" w:rsidRPr="00141E13" w:rsidRDefault="003C58C0" w:rsidP="003C58C0">
      <w:pPr>
        <w:pStyle w:val="BodyText"/>
        <w:spacing w:line="360" w:lineRule="auto"/>
        <w:rPr>
          <w:rFonts w:ascii="Open Sans SemiBold"/>
          <w:sz w:val="25"/>
        </w:rPr>
      </w:pPr>
      <w:r>
        <w:rPr>
          <w:noProof/>
        </w:rPr>
        <mc:AlternateContent>
          <mc:Choice Requires="wps">
            <w:drawing>
              <wp:inline distT="0" distB="0" distL="0" distR="0" wp14:anchorId="5EFA904A" wp14:editId="4D7E4957">
                <wp:extent cx="5629275" cy="1781175"/>
                <wp:effectExtent l="0" t="0" r="28575" b="28575"/>
                <wp:docPr id="1196448039"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9275" cy="1781175"/>
                        </a:xfrm>
                        <a:prstGeom prst="rect">
                          <a:avLst/>
                        </a:prstGeom>
                        <a:ln w="12700">
                          <a:solidFill>
                            <a:srgbClr val="003399"/>
                          </a:solidFill>
                          <a:prstDash val="solid"/>
                        </a:ln>
                      </wps:spPr>
                      <wps:txbx>
                        <w:txbxContent>
                          <w:p w14:paraId="210FD761" w14:textId="77777777" w:rsidR="003C58C0" w:rsidRPr="00AF2B0C" w:rsidRDefault="003C58C0" w:rsidP="003C58C0">
                            <w:pPr>
                              <w:pStyle w:val="BodyText"/>
                              <w:rPr>
                                <w:rFonts w:ascii="Open Sans ExtraBold" w:eastAsiaTheme="minorHAnsi" w:hAnsiTheme="minorHAnsi" w:cstheme="minorBidi"/>
                                <w:b/>
                                <w:color w:val="003399"/>
                                <w:spacing w:val="-2"/>
                                <w:sz w:val="20"/>
                                <w:szCs w:val="22"/>
                                <w:lang w:eastAsia="en-US"/>
                              </w:rPr>
                            </w:pPr>
                            <w:r w:rsidRPr="006D77D6">
                              <w:rPr>
                                <w:rFonts w:ascii="Open Sans ExtraBold" w:eastAsiaTheme="minorHAnsi" w:hAnsiTheme="minorHAnsi" w:cstheme="minorBidi"/>
                                <w:b/>
                                <w:color w:val="003399"/>
                                <w:spacing w:val="-2"/>
                                <w:sz w:val="24"/>
                                <w:szCs w:val="28"/>
                                <w:lang w:eastAsia="en-US"/>
                              </w:rPr>
                              <w:t>Note</w:t>
                            </w:r>
                            <w:r w:rsidRPr="00AF2B0C">
                              <w:rPr>
                                <w:rFonts w:ascii="Open Sans ExtraBold" w:eastAsiaTheme="minorHAnsi" w:hAnsiTheme="minorHAnsi" w:cstheme="minorBidi"/>
                                <w:b/>
                                <w:color w:val="003399"/>
                                <w:spacing w:val="-2"/>
                                <w:sz w:val="20"/>
                                <w:szCs w:val="22"/>
                                <w:lang w:eastAsia="en-US"/>
                              </w:rPr>
                              <w:t xml:space="preserve">: </w:t>
                            </w:r>
                          </w:p>
                          <w:p w14:paraId="77C6558A" w14:textId="77777777" w:rsidR="003C58C0" w:rsidRPr="00AF2B0C" w:rsidRDefault="003C58C0" w:rsidP="003C58C0">
                            <w:pPr>
                              <w:pStyle w:val="BodyText"/>
                              <w:numPr>
                                <w:ilvl w:val="0"/>
                                <w:numId w:val="75"/>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0ECC7CE8" w14:textId="77777777" w:rsidR="003C58C0" w:rsidRPr="00AF2B0C" w:rsidRDefault="003C58C0" w:rsidP="003C58C0">
                            <w:pPr>
                              <w:pStyle w:val="BodyText"/>
                              <w:numPr>
                                <w:ilvl w:val="0"/>
                                <w:numId w:val="75"/>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55E087CD" w14:textId="77777777" w:rsidR="003C58C0" w:rsidRPr="006D77D6" w:rsidRDefault="003C58C0" w:rsidP="003C58C0">
                            <w:pPr>
                              <w:pStyle w:val="BodyText"/>
                              <w:numPr>
                                <w:ilvl w:val="0"/>
                                <w:numId w:val="75"/>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txbxContent>
                      </wps:txbx>
                      <wps:bodyPr wrap="square" lIns="0" tIns="0" rIns="0" bIns="0" rtlCol="0">
                        <a:noAutofit/>
                      </wps:bodyPr>
                    </wps:wsp>
                  </a:graphicData>
                </a:graphic>
              </wp:inline>
            </w:drawing>
          </mc:Choice>
          <mc:Fallback>
            <w:pict>
              <v:shape w14:anchorId="5EFA904A" id="_x0000_s1032" type="#_x0000_t202" style="width:443.25pt;height:14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" filled="f" strokecolor="#039" strokeweight="1pt">
                <v:path arrowok="t"/>
                <v:textbox inset="0,0,0,0">
                  <w:txbxContent>
                    <w:p w14:paraId="210FD761" w14:textId="77777777" w:rsidR="003C58C0" w:rsidRPr="00AF2B0C" w:rsidRDefault="003C58C0" w:rsidP="003C58C0">
                      <w:pPr>
                        <w:pStyle w:val="BodyText"/>
                        <w:rPr>
                          <w:rFonts w:ascii="Open Sans ExtraBold" w:eastAsiaTheme="minorHAnsi" w:hAnsiTheme="minorHAnsi" w:cstheme="minorBidi"/>
                          <w:b/>
                          <w:color w:val="003399"/>
                          <w:spacing w:val="-2"/>
                          <w:sz w:val="20"/>
                          <w:szCs w:val="22"/>
                          <w:lang w:eastAsia="en-US"/>
                        </w:rPr>
                      </w:pPr>
                      <w:r w:rsidRPr="006D77D6">
                        <w:rPr>
                          <w:rFonts w:ascii="Open Sans ExtraBold" w:eastAsiaTheme="minorHAnsi" w:hAnsiTheme="minorHAnsi" w:cstheme="minorBidi"/>
                          <w:b/>
                          <w:color w:val="003399"/>
                          <w:spacing w:val="-2"/>
                          <w:sz w:val="24"/>
                          <w:szCs w:val="28"/>
                          <w:lang w:eastAsia="en-US"/>
                        </w:rPr>
                        <w:t>Note</w:t>
                      </w:r>
                      <w:r w:rsidRPr="00AF2B0C">
                        <w:rPr>
                          <w:rFonts w:ascii="Open Sans ExtraBold" w:eastAsiaTheme="minorHAnsi" w:hAnsiTheme="minorHAnsi" w:cstheme="minorBidi"/>
                          <w:b/>
                          <w:color w:val="003399"/>
                          <w:spacing w:val="-2"/>
                          <w:sz w:val="20"/>
                          <w:szCs w:val="22"/>
                          <w:lang w:eastAsia="en-US"/>
                        </w:rPr>
                        <w:t xml:space="preserve">: </w:t>
                      </w:r>
                    </w:p>
                    <w:p w14:paraId="77C6558A" w14:textId="77777777" w:rsidR="003C58C0" w:rsidRPr="00AF2B0C" w:rsidRDefault="003C58C0" w:rsidP="003C58C0">
                      <w:pPr>
                        <w:pStyle w:val="BodyText"/>
                        <w:numPr>
                          <w:ilvl w:val="0"/>
                          <w:numId w:val="75"/>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0ECC7CE8" w14:textId="77777777" w:rsidR="003C58C0" w:rsidRPr="00AF2B0C" w:rsidRDefault="003C58C0" w:rsidP="003C58C0">
                      <w:pPr>
                        <w:pStyle w:val="BodyText"/>
                        <w:numPr>
                          <w:ilvl w:val="0"/>
                          <w:numId w:val="75"/>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55E087CD" w14:textId="77777777" w:rsidR="003C58C0" w:rsidRPr="006D77D6" w:rsidRDefault="003C58C0" w:rsidP="003C58C0">
                      <w:pPr>
                        <w:pStyle w:val="BodyText"/>
                        <w:numPr>
                          <w:ilvl w:val="0"/>
                          <w:numId w:val="75"/>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txbxContent>
                </v:textbox>
                <w10:anchorlock/>
              </v:shape>
            </w:pict>
          </mc:Fallback>
        </mc:AlternateContent>
      </w:r>
    </w:p>
    <w:tbl>
      <w:tblPr>
        <w:tblStyle w:val="TableNormal1"/>
        <w:tblpPr w:leftFromText="180" w:rightFromText="180" w:vertAnchor="text" w:horzAnchor="margin" w:tblpY="18"/>
        <w:tblW w:w="9090" w:type="dxa"/>
        <w:tblBorders>
          <w:top w:val="single" w:sz="12" w:space="0" w:color="003399"/>
          <w:left w:val="single" w:sz="12" w:space="0" w:color="003399"/>
          <w:bottom w:val="single" w:sz="12" w:space="0" w:color="003399"/>
          <w:right w:val="single" w:sz="12" w:space="0" w:color="003399"/>
          <w:insideH w:val="single" w:sz="12" w:space="0" w:color="003399"/>
          <w:insideV w:val="single" w:sz="12" w:space="0" w:color="003399"/>
        </w:tblBorders>
        <w:tblLayout w:type="fixed"/>
        <w:tblLook w:val="01E0" w:firstRow="1" w:lastRow="1" w:firstColumn="1" w:lastColumn="1" w:noHBand="0" w:noVBand="0"/>
        <w:tblCaption w:val="Indicators for the MEasure 1.1"/>
        <w:tblDescription w:val="Obligatory output indicators&#10;• Jointly developed solutions&#10;Optional output indicators (Projects shall select and contribute to other Programme indicators according to the focus and activities of the project)&#10;• Enterprises supported by grants&#10;• Enterprises with non-financial support&#10;• Enterprises supported (as umbrella indicator for Enterprises supported by grants and with non financial support)&#10;• Public institutions supported to develop digital services, products and processes&#10;• Pilot actions developed jointly and implemented in projects&#10;Result indicators&#10;Obligatory result indicators&#10;• Solutions taken up or up-scaled by organisations&#10;Optional result indicators&#10;• Users of new and upgraded public digital services, products and processes"/>
      </w:tblPr>
      <w:tblGrid>
        <w:gridCol w:w="1570"/>
        <w:gridCol w:w="1508"/>
        <w:gridCol w:w="2307"/>
        <w:gridCol w:w="3705"/>
      </w:tblGrid>
      <w:tr w:rsidR="00A65C9C" w14:paraId="6C12AEB2" w14:textId="77777777" w:rsidTr="00AF2B0C">
        <w:trPr>
          <w:trHeight w:val="486"/>
          <w:tblHeader/>
        </w:trPr>
        <w:tc>
          <w:tcPr>
            <w:tcW w:w="1570" w:type="dxa"/>
            <w:vAlign w:val="center"/>
          </w:tcPr>
          <w:p w14:paraId="5890927C" w14:textId="77777777" w:rsidR="00A65C9C" w:rsidRDefault="00A65C9C" w:rsidP="003C58C0">
            <w:pPr>
              <w:pStyle w:val="TableParagraph"/>
              <w:spacing w:line="360" w:lineRule="auto"/>
            </w:pPr>
          </w:p>
        </w:tc>
        <w:tc>
          <w:tcPr>
            <w:tcW w:w="3815" w:type="dxa"/>
            <w:gridSpan w:val="2"/>
            <w:vAlign w:val="center"/>
          </w:tcPr>
          <w:p w14:paraId="3D5075BD" w14:textId="77777777" w:rsidR="00A65C9C" w:rsidRDefault="00A65C9C" w:rsidP="003C58C0">
            <w:pPr>
              <w:pStyle w:val="TableParagraph"/>
              <w:spacing w:line="360" w:lineRule="auto"/>
            </w:pPr>
            <w:r>
              <w:t>Output</w:t>
            </w:r>
            <w:r>
              <w:rPr>
                <w:spacing w:val="16"/>
              </w:rPr>
              <w:t xml:space="preserve"> </w:t>
            </w:r>
            <w:r>
              <w:t>indicators</w:t>
            </w:r>
          </w:p>
        </w:tc>
        <w:tc>
          <w:tcPr>
            <w:tcW w:w="3705" w:type="dxa"/>
            <w:vAlign w:val="center"/>
          </w:tcPr>
          <w:p w14:paraId="52C1B391" w14:textId="77777777" w:rsidR="00A65C9C" w:rsidRDefault="00A65C9C" w:rsidP="003C58C0">
            <w:pPr>
              <w:pStyle w:val="TableParagraph"/>
              <w:spacing w:line="360" w:lineRule="auto"/>
            </w:pPr>
            <w:r>
              <w:t>Results</w:t>
            </w:r>
            <w:r>
              <w:rPr>
                <w:spacing w:val="21"/>
              </w:rPr>
              <w:t xml:space="preserve"> </w:t>
            </w:r>
            <w:r>
              <w:t>indicators</w:t>
            </w:r>
          </w:p>
        </w:tc>
      </w:tr>
      <w:tr w:rsidR="00A65C9C" w:rsidRPr="00805C22" w14:paraId="67FB93B5" w14:textId="77777777" w:rsidTr="00AF2B0C">
        <w:trPr>
          <w:trHeight w:val="3152"/>
        </w:trPr>
        <w:tc>
          <w:tcPr>
            <w:tcW w:w="1570" w:type="dxa"/>
            <w:vAlign w:val="center"/>
          </w:tcPr>
          <w:p w14:paraId="23C4C785" w14:textId="77777777" w:rsidR="00A65C9C" w:rsidRDefault="00A65C9C" w:rsidP="003C58C0">
            <w:pPr>
              <w:pStyle w:val="TableParagraph"/>
              <w:spacing w:line="360" w:lineRule="auto"/>
            </w:pPr>
            <w:r>
              <w:rPr>
                <w:w w:val="105"/>
              </w:rPr>
              <w:t>Obligatory</w:t>
            </w:r>
          </w:p>
        </w:tc>
        <w:tc>
          <w:tcPr>
            <w:tcW w:w="3815" w:type="dxa"/>
            <w:gridSpan w:val="2"/>
            <w:vAlign w:val="center"/>
          </w:tcPr>
          <w:p w14:paraId="4F26FFAC" w14:textId="77777777" w:rsidR="00A65C9C" w:rsidRPr="006D7F58" w:rsidRDefault="00A65C9C" w:rsidP="003C58C0">
            <w:pPr>
              <w:pStyle w:val="TableParagraph"/>
              <w:spacing w:line="360" w:lineRule="auto"/>
            </w:pPr>
            <w:r>
              <w:t>Jointly</w:t>
            </w:r>
            <w:r w:rsidRPr="006D7F58">
              <w:t xml:space="preserve"> </w:t>
            </w:r>
            <w:r>
              <w:t>developed</w:t>
            </w:r>
            <w:r w:rsidRPr="006D7F58">
              <w:t xml:space="preserve"> solutions</w:t>
            </w:r>
          </w:p>
        </w:tc>
        <w:tc>
          <w:tcPr>
            <w:tcW w:w="3705" w:type="dxa"/>
            <w:vAlign w:val="center"/>
          </w:tcPr>
          <w:p w14:paraId="262B58D4" w14:textId="77777777" w:rsidR="00A65C9C" w:rsidRDefault="00A65C9C" w:rsidP="003C58C0">
            <w:pPr>
              <w:pStyle w:val="TableParagraph"/>
              <w:spacing w:line="360" w:lineRule="auto"/>
            </w:pPr>
            <w:r w:rsidRPr="006D7F58">
              <w:t>Solutions taken up or up-scaled by organisations</w:t>
            </w:r>
          </w:p>
        </w:tc>
      </w:tr>
      <w:tr w:rsidR="00A65C9C" w14:paraId="4CE5E0DF" w14:textId="77777777" w:rsidTr="003B722E">
        <w:trPr>
          <w:trHeight w:val="975"/>
        </w:trPr>
        <w:tc>
          <w:tcPr>
            <w:tcW w:w="1570" w:type="dxa"/>
            <w:vMerge w:val="restart"/>
            <w:tcBorders>
              <w:bottom w:val="single" w:sz="8" w:space="0" w:color="003399"/>
            </w:tcBorders>
            <w:vAlign w:val="center"/>
          </w:tcPr>
          <w:p w14:paraId="395E66AA" w14:textId="6C647AAF" w:rsidR="00A65C9C" w:rsidRDefault="00A65C9C" w:rsidP="003C58C0">
            <w:pPr>
              <w:pStyle w:val="TableParagraph"/>
              <w:spacing w:line="360" w:lineRule="auto"/>
              <w:rPr>
                <w:sz w:val="12"/>
              </w:rPr>
            </w:pPr>
            <w:r>
              <w:rPr>
                <w:w w:val="105"/>
              </w:rPr>
              <w:t>Optional</w:t>
            </w:r>
            <w:r w:rsidR="00312982">
              <w:rPr>
                <w:rStyle w:val="FootnoteReference"/>
                <w:rFonts w:ascii="Open Sans SemiBold"/>
                <w:b/>
                <w:color w:val="003399"/>
                <w:spacing w:val="-2"/>
                <w:w w:val="105"/>
                <w:sz w:val="20"/>
              </w:rPr>
              <w:footnoteReference w:id="10"/>
            </w:r>
          </w:p>
        </w:tc>
        <w:tc>
          <w:tcPr>
            <w:tcW w:w="1508" w:type="dxa"/>
            <w:vMerge w:val="restart"/>
            <w:vAlign w:val="center"/>
          </w:tcPr>
          <w:p w14:paraId="75954E6A" w14:textId="77777777" w:rsidR="00A65C9C" w:rsidRDefault="00A65C9C" w:rsidP="003C58C0">
            <w:pPr>
              <w:pStyle w:val="TableParagraph"/>
              <w:spacing w:line="360" w:lineRule="auto"/>
            </w:pPr>
          </w:p>
          <w:p w14:paraId="7BEE1D5C" w14:textId="77777777" w:rsidR="00A65C9C" w:rsidRDefault="00A65C9C" w:rsidP="003C58C0">
            <w:pPr>
              <w:pStyle w:val="TableParagraph"/>
              <w:spacing w:line="360" w:lineRule="auto"/>
            </w:pPr>
            <w:r w:rsidRPr="006D7F58">
              <w:t>Enterprises supported</w:t>
            </w:r>
          </w:p>
        </w:tc>
        <w:tc>
          <w:tcPr>
            <w:tcW w:w="2307" w:type="dxa"/>
            <w:vAlign w:val="center"/>
          </w:tcPr>
          <w:p w14:paraId="78E93F24" w14:textId="77777777" w:rsidR="00A65C9C" w:rsidRPr="006D7F58" w:rsidRDefault="00A65C9C" w:rsidP="003C58C0">
            <w:pPr>
              <w:pStyle w:val="TableParagraph"/>
              <w:spacing w:line="360" w:lineRule="auto"/>
            </w:pPr>
            <w:r w:rsidRPr="006D7F58">
              <w:t>Enterprises supported by grants</w:t>
            </w:r>
          </w:p>
        </w:tc>
        <w:tc>
          <w:tcPr>
            <w:tcW w:w="3705" w:type="dxa"/>
            <w:vMerge w:val="restart"/>
            <w:vAlign w:val="center"/>
          </w:tcPr>
          <w:p w14:paraId="27283780" w14:textId="77777777" w:rsidR="00A65C9C" w:rsidRDefault="00A65C9C" w:rsidP="003C58C0">
            <w:pPr>
              <w:pStyle w:val="TableParagraph"/>
              <w:spacing w:line="360" w:lineRule="auto"/>
            </w:pPr>
          </w:p>
        </w:tc>
      </w:tr>
      <w:tr w:rsidR="00A65C9C" w:rsidRPr="00805C22" w14:paraId="3D22B7A9" w14:textId="77777777" w:rsidTr="003B722E">
        <w:trPr>
          <w:trHeight w:val="930"/>
        </w:trPr>
        <w:tc>
          <w:tcPr>
            <w:tcW w:w="1570" w:type="dxa"/>
            <w:vMerge/>
            <w:tcBorders>
              <w:top w:val="nil"/>
              <w:bottom w:val="single" w:sz="8" w:space="0" w:color="003399"/>
            </w:tcBorders>
            <w:vAlign w:val="center"/>
          </w:tcPr>
          <w:p w14:paraId="29F0ADC5" w14:textId="77777777" w:rsidR="00A65C9C" w:rsidRDefault="00A65C9C" w:rsidP="003C58C0">
            <w:pPr>
              <w:spacing w:line="360" w:lineRule="auto"/>
            </w:pPr>
          </w:p>
        </w:tc>
        <w:tc>
          <w:tcPr>
            <w:tcW w:w="1508" w:type="dxa"/>
            <w:vMerge/>
            <w:tcBorders>
              <w:top w:val="nil"/>
            </w:tcBorders>
            <w:vAlign w:val="center"/>
          </w:tcPr>
          <w:p w14:paraId="1147217B" w14:textId="77777777" w:rsidR="00A65C9C" w:rsidRDefault="00A65C9C" w:rsidP="003C58C0">
            <w:pPr>
              <w:spacing w:line="360" w:lineRule="auto"/>
            </w:pPr>
          </w:p>
        </w:tc>
        <w:tc>
          <w:tcPr>
            <w:tcW w:w="2307" w:type="dxa"/>
            <w:vAlign w:val="center"/>
          </w:tcPr>
          <w:p w14:paraId="70DC2706" w14:textId="77777777" w:rsidR="00A65C9C" w:rsidRPr="006D7F58" w:rsidRDefault="00A65C9C" w:rsidP="003C58C0">
            <w:pPr>
              <w:pStyle w:val="TableParagraph"/>
              <w:spacing w:line="360" w:lineRule="auto"/>
            </w:pPr>
            <w:r>
              <w:t xml:space="preserve">Enterprises with </w:t>
            </w:r>
            <w:r w:rsidRPr="006D7F58">
              <w:t>non-ﬁnancial support</w:t>
            </w:r>
          </w:p>
        </w:tc>
        <w:tc>
          <w:tcPr>
            <w:tcW w:w="3705" w:type="dxa"/>
            <w:vMerge/>
            <w:tcBorders>
              <w:top w:val="nil"/>
            </w:tcBorders>
            <w:vAlign w:val="center"/>
          </w:tcPr>
          <w:p w14:paraId="48D20BFD" w14:textId="77777777" w:rsidR="00A65C9C" w:rsidRDefault="00A65C9C" w:rsidP="003C58C0">
            <w:pPr>
              <w:spacing w:line="360" w:lineRule="auto"/>
            </w:pPr>
          </w:p>
        </w:tc>
      </w:tr>
      <w:tr w:rsidR="00A65C9C" w:rsidRPr="00805C22" w14:paraId="6916EAB4" w14:textId="77777777" w:rsidTr="003B722E">
        <w:trPr>
          <w:trHeight w:val="890"/>
        </w:trPr>
        <w:tc>
          <w:tcPr>
            <w:tcW w:w="1570" w:type="dxa"/>
            <w:vMerge/>
            <w:tcBorders>
              <w:top w:val="nil"/>
              <w:bottom w:val="single" w:sz="8" w:space="0" w:color="003399"/>
            </w:tcBorders>
            <w:vAlign w:val="center"/>
          </w:tcPr>
          <w:p w14:paraId="77ECA48F" w14:textId="77777777" w:rsidR="00A65C9C" w:rsidRDefault="00A65C9C" w:rsidP="003C58C0">
            <w:pPr>
              <w:spacing w:line="360" w:lineRule="auto"/>
            </w:pPr>
          </w:p>
        </w:tc>
        <w:tc>
          <w:tcPr>
            <w:tcW w:w="3815" w:type="dxa"/>
            <w:gridSpan w:val="2"/>
            <w:vAlign w:val="center"/>
          </w:tcPr>
          <w:p w14:paraId="4C71FDCE" w14:textId="2204F1F2" w:rsidR="00A65C9C" w:rsidRPr="006D7F58" w:rsidRDefault="00A65C9C" w:rsidP="003C58C0">
            <w:pPr>
              <w:pStyle w:val="TableParagraph"/>
              <w:spacing w:line="360" w:lineRule="auto"/>
            </w:pPr>
            <w:r>
              <w:t xml:space="preserve">Public institutions supported </w:t>
            </w:r>
            <w:r w:rsidRPr="006D7F58">
              <w:t>to develop</w:t>
            </w:r>
            <w:r w:rsidR="003B722E">
              <w:t xml:space="preserve"> </w:t>
            </w:r>
            <w:r w:rsidRPr="006D7F58">
              <w:t xml:space="preserve">digital services, </w:t>
            </w:r>
            <w:r w:rsidR="003B722E" w:rsidRPr="006D7F58">
              <w:t>products,</w:t>
            </w:r>
            <w:r w:rsidRPr="006D7F58">
              <w:t xml:space="preserve"> and processes</w:t>
            </w:r>
          </w:p>
        </w:tc>
        <w:tc>
          <w:tcPr>
            <w:tcW w:w="3705" w:type="dxa"/>
            <w:vAlign w:val="center"/>
          </w:tcPr>
          <w:p w14:paraId="4C22AB6A" w14:textId="345DB27B" w:rsidR="00A65C9C" w:rsidRDefault="00A65C9C" w:rsidP="003C58C0">
            <w:pPr>
              <w:pStyle w:val="TableParagraph"/>
              <w:spacing w:line="360" w:lineRule="auto"/>
            </w:pPr>
            <w:r w:rsidRPr="006D7F58">
              <w:t xml:space="preserve">Users of new and upgraded public digital services, </w:t>
            </w:r>
            <w:r w:rsidR="003B722E" w:rsidRPr="006D7F58">
              <w:t>products,</w:t>
            </w:r>
            <w:r w:rsidRPr="006D7F58">
              <w:t xml:space="preserve"> and processes</w:t>
            </w:r>
          </w:p>
        </w:tc>
      </w:tr>
      <w:tr w:rsidR="00A65C9C" w:rsidRPr="00805C22" w14:paraId="5CAAA813" w14:textId="77777777" w:rsidTr="003B722E">
        <w:trPr>
          <w:trHeight w:val="800"/>
        </w:trPr>
        <w:tc>
          <w:tcPr>
            <w:tcW w:w="1570" w:type="dxa"/>
            <w:vMerge/>
            <w:tcBorders>
              <w:top w:val="nil"/>
              <w:bottom w:val="single" w:sz="8" w:space="0" w:color="003399"/>
            </w:tcBorders>
            <w:vAlign w:val="center"/>
          </w:tcPr>
          <w:p w14:paraId="2F36FC7E" w14:textId="77777777" w:rsidR="00A65C9C" w:rsidRDefault="00A65C9C" w:rsidP="003C58C0">
            <w:pPr>
              <w:spacing w:line="360" w:lineRule="auto"/>
            </w:pPr>
          </w:p>
        </w:tc>
        <w:tc>
          <w:tcPr>
            <w:tcW w:w="3815" w:type="dxa"/>
            <w:gridSpan w:val="2"/>
            <w:tcBorders>
              <w:bottom w:val="single" w:sz="8" w:space="0" w:color="003399"/>
            </w:tcBorders>
            <w:vAlign w:val="center"/>
          </w:tcPr>
          <w:p w14:paraId="6B814656" w14:textId="77777777" w:rsidR="00A65C9C" w:rsidRPr="006D7F58" w:rsidRDefault="00A65C9C" w:rsidP="003C58C0">
            <w:pPr>
              <w:pStyle w:val="TableParagraph"/>
              <w:spacing w:line="360" w:lineRule="auto"/>
            </w:pPr>
            <w:r w:rsidRPr="006D7F58">
              <w:t>Pilot actions developed jointly and implemented in projects</w:t>
            </w:r>
          </w:p>
        </w:tc>
        <w:tc>
          <w:tcPr>
            <w:tcW w:w="3705" w:type="dxa"/>
            <w:tcBorders>
              <w:bottom w:val="single" w:sz="8" w:space="0" w:color="003399"/>
            </w:tcBorders>
            <w:vAlign w:val="center"/>
          </w:tcPr>
          <w:p w14:paraId="597445E8" w14:textId="77777777" w:rsidR="00A65C9C" w:rsidRDefault="00A65C9C" w:rsidP="003C58C0">
            <w:pPr>
              <w:pStyle w:val="TableParagraph"/>
              <w:spacing w:line="360" w:lineRule="auto"/>
            </w:pPr>
          </w:p>
        </w:tc>
      </w:tr>
    </w:tbl>
    <w:p w14:paraId="353969F6" w14:textId="77777777" w:rsidR="00B90E0B" w:rsidRDefault="00B90E0B" w:rsidP="003C58C0">
      <w:pPr>
        <w:spacing w:line="360" w:lineRule="auto"/>
      </w:pPr>
    </w:p>
    <w:p w14:paraId="0866F886" w14:textId="5F35FD0B" w:rsidR="00736C10" w:rsidRPr="00AF2B0C" w:rsidRDefault="00736C10" w:rsidP="003C58C0">
      <w:pPr>
        <w:spacing w:line="360" w:lineRule="auto"/>
        <w:rPr>
          <w:rFonts w:ascii="Open Sans SemiBold" w:eastAsia="Open Sans SemiBold" w:hAnsi="Open Sans SemiBold" w:cs="Open Sans SemiBold"/>
          <w:b/>
          <w:color w:val="003399"/>
          <w:szCs w:val="24"/>
        </w:rPr>
      </w:pPr>
      <w:r w:rsidRPr="00AF2B0C">
        <w:rPr>
          <w:rFonts w:ascii="Open Sans SemiBold" w:eastAsia="Open Sans SemiBold" w:hAnsi="Open Sans SemiBold" w:cs="Open Sans SemiBold"/>
          <w:b/>
          <w:color w:val="003399"/>
          <w:szCs w:val="24"/>
        </w:rPr>
        <w:t>Programme Measure 1.2: Building connectivity of the region through internationalisation</w:t>
      </w:r>
    </w:p>
    <w:p w14:paraId="7158CFAB" w14:textId="7E5ECE81" w:rsidR="00736C10" w:rsidRPr="002E2B63" w:rsidRDefault="00736C10" w:rsidP="003C58C0">
      <w:pPr>
        <w:spacing w:line="360" w:lineRule="auto"/>
      </w:pPr>
      <w:r w:rsidRPr="002E2B63">
        <w:t xml:space="preserve">Economic growth of the South Baltic </w:t>
      </w:r>
      <w:r w:rsidR="000A78E0" w:rsidRPr="002E2B63">
        <w:t>a</w:t>
      </w:r>
      <w:r w:rsidRPr="002E2B63">
        <w:t>rea requires</w:t>
      </w:r>
      <w:r w:rsidR="0089176D" w:rsidRPr="002E2B63">
        <w:t>,</w:t>
      </w:r>
      <w:r w:rsidRPr="002E2B63">
        <w:t xml:space="preserve"> inter alia</w:t>
      </w:r>
      <w:r w:rsidR="0089176D" w:rsidRPr="002E2B63">
        <w:t>,</w:t>
      </w:r>
      <w:r w:rsidRPr="002E2B63">
        <w:t xml:space="preserve"> actions dedicated to the enhancement of SMEs</w:t>
      </w:r>
      <w:r w:rsidR="0089176D" w:rsidRPr="002E2B63">
        <w:t>’</w:t>
      </w:r>
      <w:r w:rsidRPr="002E2B63">
        <w:t xml:space="preserve"> competitiveness, innovativeness, as well as their presence on an international market. </w:t>
      </w:r>
      <w:r w:rsidR="00B7310E" w:rsidRPr="002E2B63">
        <w:t>To</w:t>
      </w:r>
      <w:r w:rsidRPr="002E2B63">
        <w:t xml:space="preserve"> become more visible on the international market, </w:t>
      </w:r>
      <w:r w:rsidR="0089176D" w:rsidRPr="002E2B63">
        <w:t xml:space="preserve">the </w:t>
      </w:r>
      <w:r w:rsidRPr="002E2B63">
        <w:t>expansion of SMEs need</w:t>
      </w:r>
      <w:r w:rsidR="0089176D" w:rsidRPr="002E2B63">
        <w:t>s</w:t>
      </w:r>
      <w:r w:rsidRPr="002E2B63">
        <w:t xml:space="preserve"> efficient cross-border learning and networking platforms, business advisory services and matchmaking actions to assist them in moving from domestic to international business practices. </w:t>
      </w:r>
    </w:p>
    <w:p w14:paraId="6AF16724" w14:textId="3710B2BA" w:rsidR="00622B72" w:rsidRPr="002E2B63" w:rsidRDefault="00736C10" w:rsidP="003C58C0">
      <w:pPr>
        <w:spacing w:line="360" w:lineRule="auto"/>
      </w:pPr>
      <w:r w:rsidRPr="002E2B63">
        <w:t>Project proposals are encouraged to include innovation</w:t>
      </w:r>
      <w:r w:rsidR="0089176D" w:rsidRPr="002E2B63">
        <w:t>-</w:t>
      </w:r>
      <w:r w:rsidRPr="002E2B63">
        <w:t>driven activities in cooperation with different stakeholders to create cross-sectorial partnerships and collaborations as there is strong potential for cooperation</w:t>
      </w:r>
      <w:r w:rsidR="00973F8B" w:rsidRPr="002E2B63">
        <w:t>.</w:t>
      </w:r>
    </w:p>
    <w:p w14:paraId="336F147C" w14:textId="77777777" w:rsidR="00736C10" w:rsidRPr="002E2B63" w:rsidRDefault="00736C10" w:rsidP="003C58C0">
      <w:pPr>
        <w:spacing w:line="360" w:lineRule="auto"/>
      </w:pPr>
      <w:r w:rsidRPr="002E2B63">
        <w:t>The Measure supports:</w:t>
      </w:r>
    </w:p>
    <w:p w14:paraId="17E067D1" w14:textId="65966C43" w:rsidR="007F47CB" w:rsidRPr="002E2B63" w:rsidRDefault="00736C10" w:rsidP="003C58C0">
      <w:pPr>
        <w:pStyle w:val="ListParagraph"/>
        <w:numPr>
          <w:ilvl w:val="0"/>
          <w:numId w:val="40"/>
        </w:numPr>
        <w:spacing w:line="360" w:lineRule="auto"/>
      </w:pPr>
      <w:r w:rsidRPr="002E2B63">
        <w:t>Enhancement of SMEs</w:t>
      </w:r>
      <w:r w:rsidR="0089176D" w:rsidRPr="002E2B63">
        <w:t>’</w:t>
      </w:r>
      <w:r w:rsidRPr="002E2B63">
        <w:t xml:space="preserve"> competitiveness, innovativeness, as well as their presence on an international market.</w:t>
      </w:r>
    </w:p>
    <w:p w14:paraId="470398C2" w14:textId="22E619D7" w:rsidR="007F47CB" w:rsidRPr="002E2B63" w:rsidRDefault="00736C10" w:rsidP="003C58C0">
      <w:pPr>
        <w:pStyle w:val="ListParagraph"/>
        <w:numPr>
          <w:ilvl w:val="0"/>
          <w:numId w:val="40"/>
        </w:numPr>
        <w:spacing w:line="360" w:lineRule="auto"/>
      </w:pPr>
      <w:r w:rsidRPr="002E2B63">
        <w:t xml:space="preserve">Technology transfer and cooperation between enterprises, research </w:t>
      </w:r>
      <w:r w:rsidR="006D1D03" w:rsidRPr="002E2B63">
        <w:t>centres</w:t>
      </w:r>
      <w:r w:rsidRPr="002E2B63">
        <w:t xml:space="preserve"> and </w:t>
      </w:r>
      <w:r w:rsidR="00AD0CBC" w:rsidRPr="002E2B63">
        <w:t xml:space="preserve">the </w:t>
      </w:r>
      <w:r w:rsidRPr="002E2B63">
        <w:t>higher education sector to foster innovative solutions.</w:t>
      </w:r>
    </w:p>
    <w:p w14:paraId="516E64EA" w14:textId="07758034" w:rsidR="00736C10" w:rsidRPr="002E2B63" w:rsidRDefault="006D1D03" w:rsidP="003C58C0">
      <w:pPr>
        <w:pStyle w:val="ListParagraph"/>
        <w:numPr>
          <w:ilvl w:val="0"/>
          <w:numId w:val="40"/>
        </w:numPr>
        <w:spacing w:line="360" w:lineRule="auto"/>
      </w:pPr>
      <w:r w:rsidRPr="002E2B63">
        <w:t>Creation of new platforms and opportunities through cross-border cooperation</w:t>
      </w:r>
      <w:r w:rsidR="00736C10" w:rsidRPr="002E2B63">
        <w:t>.</w:t>
      </w:r>
    </w:p>
    <w:p w14:paraId="13224931" w14:textId="77777777" w:rsidR="00736C10" w:rsidRPr="002E2B63" w:rsidRDefault="00736C10" w:rsidP="003C58C0">
      <w:pPr>
        <w:spacing w:line="360" w:lineRule="auto"/>
      </w:pPr>
      <w:r w:rsidRPr="002E2B63">
        <w:lastRenderedPageBreak/>
        <w:t>The indicative list of cross-border activities includes:</w:t>
      </w:r>
    </w:p>
    <w:p w14:paraId="5A3C8585" w14:textId="16FB105D" w:rsidR="00192632" w:rsidRPr="002E2B63" w:rsidRDefault="00736C10" w:rsidP="003C58C0">
      <w:pPr>
        <w:pStyle w:val="ListParagraph"/>
        <w:numPr>
          <w:ilvl w:val="0"/>
          <w:numId w:val="1"/>
        </w:numPr>
        <w:spacing w:line="360" w:lineRule="auto"/>
      </w:pPr>
      <w:r w:rsidRPr="002E2B63">
        <w:t>Support for</w:t>
      </w:r>
      <w:r w:rsidR="007F47CB" w:rsidRPr="002E2B63">
        <w:t>:</w:t>
      </w:r>
    </w:p>
    <w:p w14:paraId="1F36591F" w14:textId="5F830C88" w:rsidR="00192632" w:rsidRPr="002E2B63" w:rsidRDefault="00736C10" w:rsidP="003C58C0">
      <w:pPr>
        <w:pStyle w:val="ListParagraph"/>
        <w:numPr>
          <w:ilvl w:val="0"/>
          <w:numId w:val="39"/>
        </w:numPr>
        <w:spacing w:line="360" w:lineRule="auto"/>
      </w:pPr>
      <w:r w:rsidRPr="002E2B63">
        <w:t xml:space="preserve">cooperation between SMEs to create innovative solutions, e.g., in </w:t>
      </w:r>
      <w:r w:rsidR="00AD0CBC" w:rsidRPr="002E2B63">
        <w:t xml:space="preserve">the </w:t>
      </w:r>
      <w:r w:rsidRPr="002E2B63">
        <w:t>blue and green sectors</w:t>
      </w:r>
      <w:r w:rsidR="002A5D96">
        <w:t>,</w:t>
      </w:r>
    </w:p>
    <w:p w14:paraId="36F039D2" w14:textId="01E23E77" w:rsidR="00736C10" w:rsidRPr="002E2B63" w:rsidRDefault="00736C10" w:rsidP="003C58C0">
      <w:pPr>
        <w:pStyle w:val="ListParagraph"/>
        <w:numPr>
          <w:ilvl w:val="0"/>
          <w:numId w:val="39"/>
        </w:numPr>
        <w:spacing w:line="360" w:lineRule="auto"/>
      </w:pPr>
      <w:r w:rsidRPr="002E2B63">
        <w:t>collaborative research projects between, e.g., SMEs, universities, public entities and business support organi</w:t>
      </w:r>
      <w:r w:rsidR="004C3F0F" w:rsidRPr="002E2B63">
        <w:t>s</w:t>
      </w:r>
      <w:r w:rsidRPr="002E2B63">
        <w:t>ations</w:t>
      </w:r>
      <w:r w:rsidR="002A5D96">
        <w:t>.</w:t>
      </w:r>
    </w:p>
    <w:p w14:paraId="4067686F" w14:textId="77777777" w:rsidR="00192632" w:rsidRPr="002E2B63" w:rsidRDefault="00736C10" w:rsidP="003C58C0">
      <w:pPr>
        <w:pStyle w:val="ListParagraph"/>
        <w:numPr>
          <w:ilvl w:val="0"/>
          <w:numId w:val="1"/>
        </w:numPr>
        <w:spacing w:line="360" w:lineRule="auto"/>
      </w:pPr>
      <w:r w:rsidRPr="002E2B63">
        <w:t>Development and promotion of:</w:t>
      </w:r>
    </w:p>
    <w:p w14:paraId="0ECC6764" w14:textId="4184AB2E" w:rsidR="00192632" w:rsidRPr="002E2B63" w:rsidRDefault="00736C10" w:rsidP="003C58C0">
      <w:pPr>
        <w:pStyle w:val="ListParagraph"/>
        <w:numPr>
          <w:ilvl w:val="0"/>
          <w:numId w:val="39"/>
        </w:numPr>
        <w:spacing w:line="360" w:lineRule="auto"/>
      </w:pPr>
      <w:r w:rsidRPr="002E2B63">
        <w:t>international markets joint products</w:t>
      </w:r>
      <w:r w:rsidR="00D07B80" w:rsidRPr="002E2B63">
        <w:t>/</w:t>
      </w:r>
      <w:r w:rsidRPr="002E2B63">
        <w:t>solutions</w:t>
      </w:r>
      <w:r w:rsidR="00D07B80" w:rsidRPr="002E2B63">
        <w:t>/</w:t>
      </w:r>
      <w:r w:rsidRPr="002E2B63">
        <w:t>services</w:t>
      </w:r>
      <w:r w:rsidR="002A5D96">
        <w:t>,</w:t>
      </w:r>
    </w:p>
    <w:p w14:paraId="63774BE8" w14:textId="06D6373A" w:rsidR="00192632" w:rsidRPr="002E2B63" w:rsidRDefault="00736C10" w:rsidP="003C58C0">
      <w:pPr>
        <w:pStyle w:val="ListParagraph"/>
        <w:numPr>
          <w:ilvl w:val="0"/>
          <w:numId w:val="39"/>
        </w:numPr>
        <w:spacing w:line="360" w:lineRule="auto"/>
      </w:pPr>
      <w:r w:rsidRPr="002E2B63">
        <w:t>networks and clusters, and their expansion aiming at improving innovation capacity, quality of services and internationalisation among local actors</w:t>
      </w:r>
      <w:r w:rsidR="00AD0CBC" w:rsidRPr="002E2B63">
        <w:t>,</w:t>
      </w:r>
      <w:r w:rsidRPr="002E2B63">
        <w:t xml:space="preserve"> etc.</w:t>
      </w:r>
    </w:p>
    <w:p w14:paraId="1E461B64" w14:textId="621F9D86" w:rsidR="005669FA" w:rsidRPr="005669FA" w:rsidRDefault="00B95D2A" w:rsidP="003C58C0">
      <w:pPr>
        <w:pStyle w:val="ListParagraph"/>
        <w:numPr>
          <w:ilvl w:val="0"/>
          <w:numId w:val="1"/>
        </w:numPr>
        <w:spacing w:line="360" w:lineRule="auto"/>
        <w:rPr>
          <w:rFonts w:ascii="Segoe UI" w:hAnsi="Segoe UI" w:cs="Segoe UI"/>
          <w:lang w:val="en-GB"/>
        </w:rPr>
      </w:pPr>
      <w:r w:rsidRPr="002E2B63">
        <w:t>O</w:t>
      </w:r>
      <w:r w:rsidR="00736C10" w:rsidRPr="002E2B63">
        <w:t xml:space="preserve">rganisation of fairs, exhibitions, marketing and joint branding campaigns promoting products and services from the </w:t>
      </w:r>
      <w:r w:rsidR="009E0AA5" w:rsidRPr="002E2B63">
        <w:t>South Baltic Area</w:t>
      </w:r>
      <w:r w:rsidR="00736C10" w:rsidRPr="002E2B63">
        <w:t xml:space="preserve"> </w:t>
      </w:r>
      <w:r w:rsidR="00AD0CBC" w:rsidRPr="002E2B63">
        <w:t xml:space="preserve">on </w:t>
      </w:r>
      <w:r w:rsidR="00736C10" w:rsidRPr="002E2B63">
        <w:t>international markets.</w:t>
      </w:r>
    </w:p>
    <w:p w14:paraId="4C75B3EE" w14:textId="0257AC07" w:rsidR="00061A31" w:rsidRDefault="00AF2B0C" w:rsidP="003C58C0">
      <w:pPr>
        <w:spacing w:line="360" w:lineRule="auto"/>
        <w:rPr>
          <w:lang w:val="en-GB"/>
        </w:rPr>
      </w:pPr>
      <w:r>
        <w:rPr>
          <w:noProof/>
        </w:rPr>
        <mc:AlternateContent>
          <mc:Choice Requires="wps">
            <w:drawing>
              <wp:inline distT="0" distB="0" distL="0" distR="0" wp14:anchorId="786F3ABE" wp14:editId="3C622F49">
                <wp:extent cx="5695950" cy="1885950"/>
                <wp:effectExtent l="0" t="0" r="19050" b="19050"/>
                <wp:docPr id="53391355"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5950" cy="1885950"/>
                        </a:xfrm>
                        <a:prstGeom prst="rect">
                          <a:avLst/>
                        </a:prstGeom>
                        <a:ln w="12700">
                          <a:solidFill>
                            <a:srgbClr val="003399"/>
                          </a:solidFill>
                          <a:prstDash val="solid"/>
                        </a:ln>
                      </wps:spPr>
                      <wps:txbx>
                        <w:txbxContent>
                          <w:p w14:paraId="40EA4676" w14:textId="77777777" w:rsidR="00AF2B0C" w:rsidRPr="00AF2B0C" w:rsidRDefault="00AF2B0C" w:rsidP="00AF2B0C">
                            <w:pPr>
                              <w:pStyle w:val="BodyText"/>
                              <w:spacing w:beforeLines="16" w:before="38" w:afterLines="16" w:after="38" w:line="23" w:lineRule="atLeast"/>
                              <w:ind w:left="360" w:right="468"/>
                              <w:jc w:val="both"/>
                              <w:rPr>
                                <w:rFonts w:ascii="Open Sans ExtraBold" w:eastAsiaTheme="minorHAnsi" w:hAnsiTheme="minorHAnsi" w:cstheme="minorBidi"/>
                                <w:b/>
                                <w:color w:val="003399"/>
                                <w:spacing w:val="-2"/>
                                <w:sz w:val="20"/>
                                <w:szCs w:val="22"/>
                                <w:lang w:eastAsia="en-US"/>
                              </w:rPr>
                            </w:pPr>
                            <w:r w:rsidRPr="00AF2B0C">
                              <w:rPr>
                                <w:rFonts w:ascii="Open Sans ExtraBold" w:eastAsiaTheme="minorHAnsi" w:hAnsiTheme="minorHAnsi" w:cstheme="minorBidi"/>
                                <w:b/>
                                <w:color w:val="003399"/>
                                <w:spacing w:val="-2"/>
                                <w:sz w:val="20"/>
                                <w:szCs w:val="22"/>
                                <w:lang w:eastAsia="en-US"/>
                              </w:rPr>
                              <w:t xml:space="preserve">Note: </w:t>
                            </w:r>
                          </w:p>
                          <w:p w14:paraId="769DF4C1" w14:textId="77777777" w:rsidR="00AF2B0C" w:rsidRPr="00AF2B0C" w:rsidRDefault="00AF2B0C" w:rsidP="00AF2B0C">
                            <w:pPr>
                              <w:pStyle w:val="BodyText"/>
                              <w:numPr>
                                <w:ilvl w:val="0"/>
                                <w:numId w:val="76"/>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24C392CA" w14:textId="77777777" w:rsidR="00AF2B0C" w:rsidRPr="00AF2B0C" w:rsidRDefault="00AF2B0C" w:rsidP="00AF2B0C">
                            <w:pPr>
                              <w:pStyle w:val="BodyText"/>
                              <w:numPr>
                                <w:ilvl w:val="0"/>
                                <w:numId w:val="76"/>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7DE320D4" w14:textId="77777777" w:rsidR="00AF2B0C" w:rsidRPr="00AF2B0C" w:rsidRDefault="00AF2B0C" w:rsidP="00AF2B0C">
                            <w:pPr>
                              <w:pStyle w:val="BodyText"/>
                              <w:numPr>
                                <w:ilvl w:val="0"/>
                                <w:numId w:val="76"/>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0D6F4FDE" w14:textId="77777777" w:rsidR="00AF2B0C" w:rsidRPr="002E2B63" w:rsidRDefault="00AF2B0C" w:rsidP="00AF2B0C">
                            <w:pPr>
                              <w:pStyle w:val="BodyText"/>
                              <w:rPr>
                                <w:rFonts w:eastAsia="Open Sans"/>
                              </w:rPr>
                            </w:pPr>
                          </w:p>
                        </w:txbxContent>
                      </wps:txbx>
                      <wps:bodyPr wrap="square" lIns="0" tIns="0" rIns="0" bIns="0" rtlCol="0">
                        <a:noAutofit/>
                      </wps:bodyPr>
                    </wps:wsp>
                  </a:graphicData>
                </a:graphic>
              </wp:inline>
            </w:drawing>
          </mc:Choice>
          <mc:Fallback>
            <w:pict>
              <v:shape w14:anchorId="786F3ABE" id="_x0000_s1033" type="#_x0000_t202" style="width:448.5pt;height:1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" filled="f" strokecolor="#039" strokeweight="1pt">
                <v:path arrowok="t"/>
                <v:textbox inset="0,0,0,0">
                  <w:txbxContent>
                    <w:p w14:paraId="40EA4676" w14:textId="77777777" w:rsidR="00AF2B0C" w:rsidRPr="00AF2B0C" w:rsidRDefault="00AF2B0C" w:rsidP="00AF2B0C">
                      <w:pPr>
                        <w:pStyle w:val="BodyText"/>
                        <w:spacing w:beforeLines="16" w:before="38" w:afterLines="16" w:after="38" w:line="23" w:lineRule="atLeast"/>
                        <w:ind w:left="360" w:right="468"/>
                        <w:jc w:val="both"/>
                        <w:rPr>
                          <w:rFonts w:ascii="Open Sans ExtraBold" w:eastAsiaTheme="minorHAnsi" w:hAnsiTheme="minorHAnsi" w:cstheme="minorBidi"/>
                          <w:b/>
                          <w:color w:val="003399"/>
                          <w:spacing w:val="-2"/>
                          <w:sz w:val="20"/>
                          <w:szCs w:val="22"/>
                          <w:lang w:eastAsia="en-US"/>
                        </w:rPr>
                      </w:pPr>
                      <w:r w:rsidRPr="00AF2B0C">
                        <w:rPr>
                          <w:rFonts w:ascii="Open Sans ExtraBold" w:eastAsiaTheme="minorHAnsi" w:hAnsiTheme="minorHAnsi" w:cstheme="minorBidi"/>
                          <w:b/>
                          <w:color w:val="003399"/>
                          <w:spacing w:val="-2"/>
                          <w:sz w:val="20"/>
                          <w:szCs w:val="22"/>
                          <w:lang w:eastAsia="en-US"/>
                        </w:rPr>
                        <w:t xml:space="preserve">Note: </w:t>
                      </w:r>
                    </w:p>
                    <w:p w14:paraId="769DF4C1" w14:textId="77777777" w:rsidR="00AF2B0C" w:rsidRPr="00AF2B0C" w:rsidRDefault="00AF2B0C" w:rsidP="00AF2B0C">
                      <w:pPr>
                        <w:pStyle w:val="BodyText"/>
                        <w:numPr>
                          <w:ilvl w:val="0"/>
                          <w:numId w:val="76"/>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24C392CA" w14:textId="77777777" w:rsidR="00AF2B0C" w:rsidRPr="00AF2B0C" w:rsidRDefault="00AF2B0C" w:rsidP="00AF2B0C">
                      <w:pPr>
                        <w:pStyle w:val="BodyText"/>
                        <w:numPr>
                          <w:ilvl w:val="0"/>
                          <w:numId w:val="76"/>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7DE320D4" w14:textId="77777777" w:rsidR="00AF2B0C" w:rsidRPr="00AF2B0C" w:rsidRDefault="00AF2B0C" w:rsidP="00AF2B0C">
                      <w:pPr>
                        <w:pStyle w:val="BodyText"/>
                        <w:numPr>
                          <w:ilvl w:val="0"/>
                          <w:numId w:val="76"/>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0D6F4FDE" w14:textId="77777777" w:rsidR="00AF2B0C" w:rsidRPr="002E2B63" w:rsidRDefault="00AF2B0C" w:rsidP="00AF2B0C">
                      <w:pPr>
                        <w:pStyle w:val="BodyText"/>
                        <w:rPr>
                          <w:rFonts w:eastAsia="Open Sans"/>
                        </w:rPr>
                      </w:pPr>
                    </w:p>
                  </w:txbxContent>
                </v:textbox>
                <w10:anchorlock/>
              </v:shape>
            </w:pict>
          </mc:Fallback>
        </mc:AlternateContent>
      </w:r>
    </w:p>
    <w:tbl>
      <w:tblPr>
        <w:tblStyle w:val="TableNormal1"/>
        <w:tblpPr w:leftFromText="180" w:rightFromText="180" w:vertAnchor="text" w:horzAnchor="margin" w:tblpY="96"/>
        <w:tblW w:w="9090"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Indicators for Measure 1.2"/>
        <w:tblDescription w:val="Output indicators&#10;Obligatory output indicators&#10;• Jointly developed solutions&#10;• Organisations cooperating across borders&#10;Optional output indicators (Projects shall select and contribute to other Programme indicators according to the focus and activities of the project)&#10;• Enterprises supported by grants&#10;• Enterprises with non-financial support&#10;• Enterprises supported (as umbrella indicator for Enterprises supported by grants and with non financial support)&#10;Result indicators&#10;Obligatory result indicators&#10;• Solutions taken up or up-scaled by organisations&#10;• Organisations cooperating across borders after project completion"/>
      </w:tblPr>
      <w:tblGrid>
        <w:gridCol w:w="1573"/>
        <w:gridCol w:w="1510"/>
        <w:gridCol w:w="2047"/>
        <w:gridCol w:w="3960"/>
      </w:tblGrid>
      <w:tr w:rsidR="00BE7BAD" w14:paraId="50560E82" w14:textId="77777777" w:rsidTr="00BE7BAD">
        <w:trPr>
          <w:trHeight w:val="496"/>
        </w:trPr>
        <w:tc>
          <w:tcPr>
            <w:tcW w:w="1573" w:type="dxa"/>
            <w:tcBorders>
              <w:left w:val="single" w:sz="12" w:space="0" w:color="003399"/>
              <w:bottom w:val="single" w:sz="12" w:space="0" w:color="003399"/>
              <w:right w:val="single" w:sz="12" w:space="0" w:color="003399"/>
            </w:tcBorders>
          </w:tcPr>
          <w:p w14:paraId="048E2FAE" w14:textId="77777777" w:rsidR="00BE7BAD" w:rsidRDefault="00BE7BAD" w:rsidP="003C58C0">
            <w:pPr>
              <w:pStyle w:val="TableParagraph"/>
              <w:spacing w:line="360" w:lineRule="auto"/>
            </w:pPr>
          </w:p>
        </w:tc>
        <w:tc>
          <w:tcPr>
            <w:tcW w:w="3557" w:type="dxa"/>
            <w:gridSpan w:val="2"/>
            <w:tcBorders>
              <w:left w:val="single" w:sz="12" w:space="0" w:color="003399"/>
              <w:bottom w:val="single" w:sz="12" w:space="0" w:color="003399"/>
              <w:right w:val="single" w:sz="12" w:space="0" w:color="003399"/>
            </w:tcBorders>
          </w:tcPr>
          <w:p w14:paraId="5DC7CBAC" w14:textId="77777777" w:rsidR="00BE7BAD" w:rsidRDefault="00BE7BAD" w:rsidP="003C58C0">
            <w:pPr>
              <w:pStyle w:val="TableParagraph"/>
              <w:spacing w:line="360" w:lineRule="auto"/>
            </w:pPr>
            <w:r>
              <w:t>Output</w:t>
            </w:r>
            <w:r>
              <w:rPr>
                <w:spacing w:val="16"/>
              </w:rPr>
              <w:t xml:space="preserve"> </w:t>
            </w:r>
            <w:r>
              <w:t>indicators</w:t>
            </w:r>
          </w:p>
        </w:tc>
        <w:tc>
          <w:tcPr>
            <w:tcW w:w="3960" w:type="dxa"/>
            <w:tcBorders>
              <w:left w:val="single" w:sz="12" w:space="0" w:color="003399"/>
              <w:bottom w:val="single" w:sz="12" w:space="0" w:color="003399"/>
              <w:right w:val="single" w:sz="12" w:space="0" w:color="003399"/>
            </w:tcBorders>
          </w:tcPr>
          <w:p w14:paraId="54DD7ECB" w14:textId="77777777" w:rsidR="00BE7BAD" w:rsidRDefault="00BE7BAD" w:rsidP="003C58C0">
            <w:pPr>
              <w:pStyle w:val="TableParagraph"/>
              <w:spacing w:line="360" w:lineRule="auto"/>
            </w:pPr>
            <w:r>
              <w:t>Results</w:t>
            </w:r>
            <w:r>
              <w:rPr>
                <w:spacing w:val="21"/>
              </w:rPr>
              <w:t xml:space="preserve"> </w:t>
            </w:r>
            <w:r>
              <w:t>indicators</w:t>
            </w:r>
          </w:p>
        </w:tc>
      </w:tr>
      <w:tr w:rsidR="00BE7BAD" w:rsidRPr="00805C22" w14:paraId="257DED8D" w14:textId="77777777" w:rsidTr="00BE7BAD">
        <w:trPr>
          <w:trHeight w:val="854"/>
        </w:trPr>
        <w:tc>
          <w:tcPr>
            <w:tcW w:w="1573" w:type="dxa"/>
            <w:vMerge w:val="restart"/>
            <w:tcBorders>
              <w:top w:val="single" w:sz="12" w:space="0" w:color="003399"/>
              <w:left w:val="single" w:sz="12" w:space="0" w:color="003399"/>
              <w:bottom w:val="single" w:sz="12" w:space="0" w:color="003399"/>
              <w:right w:val="single" w:sz="12" w:space="0" w:color="003399"/>
            </w:tcBorders>
            <w:vAlign w:val="center"/>
          </w:tcPr>
          <w:p w14:paraId="10776620" w14:textId="77777777" w:rsidR="00BE7BAD" w:rsidRDefault="00BE7BAD" w:rsidP="003C58C0">
            <w:pPr>
              <w:pStyle w:val="TableParagraph"/>
              <w:spacing w:line="360" w:lineRule="auto"/>
            </w:pPr>
            <w:r>
              <w:rPr>
                <w:w w:val="105"/>
              </w:rPr>
              <w:t>Obligatory</w:t>
            </w:r>
          </w:p>
        </w:tc>
        <w:tc>
          <w:tcPr>
            <w:tcW w:w="3557" w:type="dxa"/>
            <w:gridSpan w:val="2"/>
            <w:tcBorders>
              <w:top w:val="single" w:sz="12" w:space="0" w:color="003399"/>
              <w:left w:val="single" w:sz="12" w:space="0" w:color="003399"/>
              <w:bottom w:val="single" w:sz="12" w:space="0" w:color="003399"/>
              <w:right w:val="single" w:sz="12" w:space="0" w:color="003399"/>
            </w:tcBorders>
            <w:vAlign w:val="center"/>
          </w:tcPr>
          <w:p w14:paraId="4F958562" w14:textId="77777777" w:rsidR="00BE7BAD" w:rsidRDefault="00BE7BAD" w:rsidP="003C58C0">
            <w:pPr>
              <w:pStyle w:val="TableParagraph"/>
              <w:spacing w:line="360" w:lineRule="auto"/>
            </w:pPr>
            <w:r>
              <w:t xml:space="preserve">Organisations cooperating </w:t>
            </w:r>
            <w:r>
              <w:rPr>
                <w:w w:val="105"/>
              </w:rPr>
              <w:t>across borders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362ADD70" w14:textId="77777777" w:rsidR="00BE7BAD" w:rsidRDefault="00BE7BAD" w:rsidP="003C58C0">
            <w:pPr>
              <w:pStyle w:val="TableParagraph"/>
              <w:spacing w:line="360" w:lineRule="auto"/>
            </w:pPr>
            <w:r>
              <w:t xml:space="preserve">Organisations cooperating across </w:t>
            </w:r>
            <w:r>
              <w:rPr>
                <w:w w:val="105"/>
              </w:rPr>
              <w:t>borders</w:t>
            </w:r>
            <w:r>
              <w:rPr>
                <w:spacing w:val="-2"/>
                <w:w w:val="105"/>
              </w:rPr>
              <w:t xml:space="preserve"> </w:t>
            </w:r>
            <w:r>
              <w:rPr>
                <w:w w:val="105"/>
              </w:rPr>
              <w:t>after</w:t>
            </w:r>
            <w:r>
              <w:rPr>
                <w:spacing w:val="-2"/>
                <w:w w:val="105"/>
              </w:rPr>
              <w:t xml:space="preserve"> </w:t>
            </w:r>
            <w:r>
              <w:rPr>
                <w:w w:val="105"/>
              </w:rPr>
              <w:t>project</w:t>
            </w:r>
            <w:r>
              <w:rPr>
                <w:spacing w:val="-2"/>
                <w:w w:val="105"/>
              </w:rPr>
              <w:t xml:space="preserve"> </w:t>
            </w:r>
            <w:r>
              <w:rPr>
                <w:w w:val="105"/>
              </w:rPr>
              <w:t>completion</w:t>
            </w:r>
          </w:p>
        </w:tc>
      </w:tr>
      <w:tr w:rsidR="00BE7BAD" w14:paraId="0B713376" w14:textId="77777777" w:rsidTr="00BE7BAD">
        <w:trPr>
          <w:trHeight w:val="735"/>
        </w:trPr>
        <w:tc>
          <w:tcPr>
            <w:tcW w:w="1573" w:type="dxa"/>
            <w:vMerge/>
            <w:tcBorders>
              <w:top w:val="nil"/>
              <w:left w:val="single" w:sz="12" w:space="0" w:color="003399"/>
              <w:bottom w:val="single" w:sz="12" w:space="0" w:color="003399"/>
              <w:right w:val="single" w:sz="12" w:space="0" w:color="003399"/>
            </w:tcBorders>
            <w:vAlign w:val="center"/>
          </w:tcPr>
          <w:p w14:paraId="6B0F0839" w14:textId="77777777" w:rsidR="00BE7BAD" w:rsidRDefault="00BE7BAD" w:rsidP="003C58C0">
            <w:pPr>
              <w:spacing w:line="360" w:lineRule="auto"/>
            </w:pPr>
          </w:p>
        </w:tc>
        <w:tc>
          <w:tcPr>
            <w:tcW w:w="3557" w:type="dxa"/>
            <w:gridSpan w:val="2"/>
            <w:tcBorders>
              <w:top w:val="single" w:sz="12" w:space="0" w:color="003399"/>
              <w:left w:val="single" w:sz="12" w:space="0" w:color="003399"/>
              <w:bottom w:val="single" w:sz="12" w:space="0" w:color="003399"/>
              <w:right w:val="single" w:sz="12" w:space="0" w:color="003399"/>
            </w:tcBorders>
            <w:vAlign w:val="center"/>
          </w:tcPr>
          <w:p w14:paraId="3ABB4FEB" w14:textId="77777777" w:rsidR="00BE7BAD" w:rsidRDefault="00BE7BAD" w:rsidP="003C58C0">
            <w:pPr>
              <w:pStyle w:val="TableParagraph"/>
              <w:spacing w:line="360" w:lineRule="auto"/>
            </w:pPr>
            <w:r>
              <w:t>Jointly</w:t>
            </w:r>
            <w:r>
              <w:rPr>
                <w:spacing w:val="24"/>
              </w:rPr>
              <w:t xml:space="preserve"> </w:t>
            </w:r>
            <w:r>
              <w:t>developed</w:t>
            </w:r>
            <w:r>
              <w:rPr>
                <w:spacing w:val="24"/>
              </w:rPr>
              <w:t xml:space="preserve"> </w:t>
            </w:r>
            <w:r>
              <w:rPr>
                <w:spacing w:val="-2"/>
              </w:rPr>
              <w:t>solutions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3EF5C2B6" w14:textId="77777777" w:rsidR="00BE7BAD" w:rsidRDefault="00BE7BAD" w:rsidP="003C58C0">
            <w:pPr>
              <w:pStyle w:val="TableParagraph"/>
              <w:spacing w:line="360" w:lineRule="auto"/>
            </w:pPr>
            <w:r>
              <w:rPr>
                <w:w w:val="105"/>
              </w:rPr>
              <w:t>Solutions</w:t>
            </w:r>
            <w:r>
              <w:rPr>
                <w:spacing w:val="-5"/>
                <w:w w:val="105"/>
              </w:rPr>
              <w:t xml:space="preserve"> </w:t>
            </w:r>
            <w:r>
              <w:rPr>
                <w:w w:val="105"/>
              </w:rPr>
              <w:t>taken</w:t>
            </w:r>
            <w:r>
              <w:rPr>
                <w:spacing w:val="-4"/>
                <w:w w:val="105"/>
              </w:rPr>
              <w:t xml:space="preserve"> </w:t>
            </w:r>
            <w:r>
              <w:rPr>
                <w:w w:val="105"/>
              </w:rPr>
              <w:t>up</w:t>
            </w:r>
            <w:r>
              <w:rPr>
                <w:spacing w:val="-4"/>
                <w:w w:val="105"/>
              </w:rPr>
              <w:t xml:space="preserve"> </w:t>
            </w:r>
            <w:r>
              <w:rPr>
                <w:w w:val="105"/>
              </w:rPr>
              <w:t>or</w:t>
            </w:r>
            <w:r>
              <w:rPr>
                <w:spacing w:val="-4"/>
                <w:w w:val="105"/>
              </w:rPr>
              <w:t xml:space="preserve"> </w:t>
            </w:r>
            <w:r>
              <w:rPr>
                <w:w w:val="105"/>
              </w:rPr>
              <w:t>up-scaled</w:t>
            </w:r>
          </w:p>
          <w:p w14:paraId="753B9FDF" w14:textId="77777777" w:rsidR="00BE7BAD" w:rsidRDefault="00BE7BAD" w:rsidP="003C58C0">
            <w:pPr>
              <w:pStyle w:val="TableParagraph"/>
              <w:spacing w:line="360" w:lineRule="auto"/>
            </w:pPr>
            <w:r>
              <w:rPr>
                <w:w w:val="105"/>
              </w:rPr>
              <w:t>by</w:t>
            </w:r>
            <w:r>
              <w:rPr>
                <w:spacing w:val="-7"/>
                <w:w w:val="105"/>
              </w:rPr>
              <w:t xml:space="preserve"> </w:t>
            </w:r>
            <w:r>
              <w:rPr>
                <w:w w:val="105"/>
              </w:rPr>
              <w:t>organisations</w:t>
            </w:r>
          </w:p>
        </w:tc>
      </w:tr>
      <w:tr w:rsidR="00BE7BAD" w14:paraId="0618C915" w14:textId="77777777" w:rsidTr="00BE7BAD">
        <w:trPr>
          <w:trHeight w:val="888"/>
        </w:trPr>
        <w:tc>
          <w:tcPr>
            <w:tcW w:w="1573" w:type="dxa"/>
            <w:vMerge w:val="restart"/>
            <w:tcBorders>
              <w:top w:val="single" w:sz="12" w:space="0" w:color="003399"/>
              <w:left w:val="single" w:sz="12" w:space="0" w:color="003399"/>
              <w:bottom w:val="single" w:sz="12" w:space="0" w:color="003399"/>
              <w:right w:val="single" w:sz="12" w:space="0" w:color="003399"/>
            </w:tcBorders>
            <w:vAlign w:val="center"/>
          </w:tcPr>
          <w:p w14:paraId="10CFFCAD" w14:textId="77777777" w:rsidR="00BE7BAD" w:rsidRDefault="00BE7BAD" w:rsidP="003C58C0">
            <w:pPr>
              <w:pStyle w:val="TableParagraph"/>
              <w:spacing w:line="360" w:lineRule="auto"/>
              <w:rPr>
                <w:sz w:val="12"/>
              </w:rPr>
            </w:pPr>
            <w:r>
              <w:rPr>
                <w:w w:val="105"/>
              </w:rPr>
              <w:lastRenderedPageBreak/>
              <w:t>Optional</w:t>
            </w:r>
            <w:r>
              <w:rPr>
                <w:rStyle w:val="FootnoteReference"/>
                <w:rFonts w:ascii="Open Sans SemiBold"/>
                <w:b/>
                <w:color w:val="003399"/>
                <w:spacing w:val="-2"/>
                <w:w w:val="105"/>
                <w:sz w:val="20"/>
              </w:rPr>
              <w:footnoteReference w:id="11"/>
            </w:r>
          </w:p>
        </w:tc>
        <w:tc>
          <w:tcPr>
            <w:tcW w:w="1510" w:type="dxa"/>
            <w:vMerge w:val="restart"/>
            <w:tcBorders>
              <w:top w:val="single" w:sz="12" w:space="0" w:color="003399"/>
              <w:left w:val="single" w:sz="12" w:space="0" w:color="003399"/>
              <w:bottom w:val="single" w:sz="12" w:space="0" w:color="003399"/>
              <w:right w:val="single" w:sz="12" w:space="0" w:color="003399"/>
            </w:tcBorders>
            <w:vAlign w:val="center"/>
          </w:tcPr>
          <w:p w14:paraId="161D4547" w14:textId="77777777" w:rsidR="00BE7BAD" w:rsidRDefault="00BE7BAD" w:rsidP="003C58C0">
            <w:pPr>
              <w:pStyle w:val="TableParagraph"/>
              <w:spacing w:line="360" w:lineRule="auto"/>
            </w:pPr>
          </w:p>
          <w:p w14:paraId="7BF772C1" w14:textId="77777777" w:rsidR="00BE7BAD" w:rsidRDefault="00BE7BAD" w:rsidP="003C58C0">
            <w:pPr>
              <w:pStyle w:val="TableParagraph"/>
              <w:spacing w:line="360" w:lineRule="auto"/>
            </w:pPr>
            <w:r>
              <w:t xml:space="preserve">Enterprises </w:t>
            </w:r>
            <w:r>
              <w:rPr>
                <w:w w:val="105"/>
              </w:rPr>
              <w:t>supported</w:t>
            </w:r>
          </w:p>
        </w:tc>
        <w:tc>
          <w:tcPr>
            <w:tcW w:w="2047" w:type="dxa"/>
            <w:tcBorders>
              <w:top w:val="single" w:sz="12" w:space="0" w:color="003399"/>
              <w:left w:val="single" w:sz="12" w:space="0" w:color="003399"/>
              <w:bottom w:val="single" w:sz="12" w:space="0" w:color="003399"/>
              <w:right w:val="single" w:sz="12" w:space="0" w:color="003399"/>
            </w:tcBorders>
            <w:vAlign w:val="center"/>
          </w:tcPr>
          <w:p w14:paraId="5EFA5EA2" w14:textId="77777777" w:rsidR="00BE7BAD" w:rsidRDefault="00BE7BAD" w:rsidP="003C58C0">
            <w:pPr>
              <w:pStyle w:val="TableParagraph"/>
              <w:spacing w:line="360" w:lineRule="auto"/>
            </w:pPr>
            <w:r>
              <w:rPr>
                <w:w w:val="105"/>
              </w:rPr>
              <w:t>Enterprises supported</w:t>
            </w:r>
            <w:r>
              <w:rPr>
                <w:spacing w:val="-12"/>
                <w:w w:val="105"/>
              </w:rPr>
              <w:t xml:space="preserve"> </w:t>
            </w:r>
            <w:r>
              <w:rPr>
                <w:w w:val="105"/>
              </w:rPr>
              <w:t>by</w:t>
            </w:r>
            <w:r>
              <w:rPr>
                <w:spacing w:val="-12"/>
                <w:w w:val="105"/>
              </w:rPr>
              <w:t xml:space="preserve"> </w:t>
            </w:r>
            <w:r>
              <w:rPr>
                <w:w w:val="105"/>
              </w:rPr>
              <w:t>grants</w:t>
            </w:r>
          </w:p>
        </w:tc>
        <w:tc>
          <w:tcPr>
            <w:tcW w:w="3960" w:type="dxa"/>
            <w:vMerge w:val="restart"/>
            <w:tcBorders>
              <w:top w:val="single" w:sz="12" w:space="0" w:color="003399"/>
              <w:left w:val="single" w:sz="12" w:space="0" w:color="003399"/>
              <w:bottom w:val="single" w:sz="12" w:space="0" w:color="003399"/>
              <w:right w:val="single" w:sz="12" w:space="0" w:color="003399"/>
            </w:tcBorders>
            <w:vAlign w:val="center"/>
          </w:tcPr>
          <w:p w14:paraId="460D44E4" w14:textId="77777777" w:rsidR="00BE7BAD" w:rsidRDefault="00BE7BAD" w:rsidP="003C58C0">
            <w:pPr>
              <w:pStyle w:val="TableParagraph"/>
              <w:spacing w:line="360" w:lineRule="auto"/>
            </w:pPr>
          </w:p>
        </w:tc>
      </w:tr>
      <w:tr w:rsidR="00BE7BAD" w:rsidRPr="00805C22" w14:paraId="0891BBD4" w14:textId="77777777" w:rsidTr="00BE7BAD">
        <w:trPr>
          <w:trHeight w:val="1295"/>
        </w:trPr>
        <w:tc>
          <w:tcPr>
            <w:tcW w:w="1573" w:type="dxa"/>
            <w:vMerge/>
            <w:tcBorders>
              <w:top w:val="nil"/>
              <w:left w:val="single" w:sz="12" w:space="0" w:color="003399"/>
              <w:bottom w:val="single" w:sz="12" w:space="0" w:color="003399"/>
              <w:right w:val="single" w:sz="12" w:space="0" w:color="003399"/>
            </w:tcBorders>
          </w:tcPr>
          <w:p w14:paraId="7FE6CD78" w14:textId="77777777" w:rsidR="00BE7BAD" w:rsidRDefault="00BE7BAD" w:rsidP="003C58C0">
            <w:pPr>
              <w:spacing w:line="360" w:lineRule="auto"/>
            </w:pPr>
          </w:p>
        </w:tc>
        <w:tc>
          <w:tcPr>
            <w:tcW w:w="1510" w:type="dxa"/>
            <w:vMerge/>
            <w:tcBorders>
              <w:top w:val="nil"/>
              <w:left w:val="single" w:sz="12" w:space="0" w:color="003399"/>
              <w:bottom w:val="single" w:sz="12" w:space="0" w:color="003399"/>
              <w:right w:val="single" w:sz="12" w:space="0" w:color="003399"/>
            </w:tcBorders>
          </w:tcPr>
          <w:p w14:paraId="54656031" w14:textId="77777777" w:rsidR="00BE7BAD" w:rsidRDefault="00BE7BAD" w:rsidP="003C58C0">
            <w:pPr>
              <w:spacing w:line="360" w:lineRule="auto"/>
            </w:pPr>
          </w:p>
        </w:tc>
        <w:tc>
          <w:tcPr>
            <w:tcW w:w="2047" w:type="dxa"/>
            <w:tcBorders>
              <w:top w:val="single" w:sz="12" w:space="0" w:color="003399"/>
              <w:left w:val="single" w:sz="12" w:space="0" w:color="003399"/>
              <w:bottom w:val="single" w:sz="12" w:space="0" w:color="003399"/>
              <w:right w:val="single" w:sz="12" w:space="0" w:color="003399"/>
            </w:tcBorders>
            <w:vAlign w:val="center"/>
          </w:tcPr>
          <w:p w14:paraId="50280B58" w14:textId="77777777" w:rsidR="00BE7BAD" w:rsidRDefault="00BE7BAD" w:rsidP="003C58C0">
            <w:pPr>
              <w:pStyle w:val="TableParagraph"/>
              <w:spacing w:line="360" w:lineRule="auto"/>
            </w:pPr>
            <w:r>
              <w:rPr>
                <w:w w:val="105"/>
              </w:rPr>
              <w:t>Enterprises</w:t>
            </w:r>
            <w:r>
              <w:rPr>
                <w:spacing w:val="-12"/>
                <w:w w:val="105"/>
              </w:rPr>
              <w:t xml:space="preserve"> </w:t>
            </w:r>
            <w:r>
              <w:rPr>
                <w:w w:val="105"/>
              </w:rPr>
              <w:t>with non-ﬁnancial support</w:t>
            </w:r>
          </w:p>
        </w:tc>
        <w:tc>
          <w:tcPr>
            <w:tcW w:w="3960" w:type="dxa"/>
            <w:vMerge/>
            <w:tcBorders>
              <w:top w:val="nil"/>
              <w:left w:val="single" w:sz="12" w:space="0" w:color="003399"/>
              <w:bottom w:val="single" w:sz="12" w:space="0" w:color="003399"/>
              <w:right w:val="single" w:sz="12" w:space="0" w:color="003399"/>
            </w:tcBorders>
          </w:tcPr>
          <w:p w14:paraId="2B481D1D" w14:textId="77777777" w:rsidR="00BE7BAD" w:rsidRDefault="00BE7BAD" w:rsidP="003C58C0">
            <w:pPr>
              <w:spacing w:line="360" w:lineRule="auto"/>
            </w:pPr>
          </w:p>
        </w:tc>
      </w:tr>
    </w:tbl>
    <w:p w14:paraId="42474BDD" w14:textId="7F1537AF" w:rsidR="00B65201" w:rsidRPr="00D52F31" w:rsidRDefault="00D52F31" w:rsidP="003C58C0">
      <w:pPr>
        <w:pStyle w:val="Heading2"/>
        <w:spacing w:line="360" w:lineRule="auto"/>
      </w:pPr>
      <w:bookmarkStart w:id="24" w:name="_Toc147242376"/>
      <w:r>
        <w:t>2</w:t>
      </w:r>
      <w:r w:rsidR="00B65201" w:rsidRPr="00D52F31">
        <w:t xml:space="preserve"> P</w:t>
      </w:r>
      <w:r w:rsidR="0089529E">
        <w:t>RIORITY</w:t>
      </w:r>
      <w:r w:rsidR="00B65201" w:rsidRPr="00D52F31">
        <w:t xml:space="preserve"> 2 </w:t>
      </w:r>
      <w:r w:rsidR="007574DF" w:rsidRPr="00D52F31">
        <w:t xml:space="preserve">– </w:t>
      </w:r>
      <w:r w:rsidR="00B65201" w:rsidRPr="00D52F31">
        <w:t>Sustainable South Baltic -promoting sustainable development and blue and green economy</w:t>
      </w:r>
      <w:bookmarkEnd w:id="24"/>
    </w:p>
    <w:p w14:paraId="702C2124" w14:textId="680FB2B0" w:rsidR="00736C10" w:rsidRPr="00AF2B0C" w:rsidRDefault="00736C10" w:rsidP="003C58C0">
      <w:pPr>
        <w:spacing w:line="360" w:lineRule="auto"/>
        <w:rPr>
          <w:rFonts w:ascii="Open Sans SemiBold" w:eastAsia="Open Sans SemiBold" w:hAnsi="Open Sans SemiBold" w:cs="Open Sans SemiBold"/>
          <w:b/>
          <w:color w:val="003399"/>
          <w:szCs w:val="24"/>
        </w:rPr>
      </w:pPr>
      <w:r w:rsidRPr="00AF2B0C">
        <w:rPr>
          <w:rFonts w:ascii="Open Sans SemiBold" w:eastAsia="Open Sans SemiBold" w:hAnsi="Open Sans SemiBold" w:cs="Open Sans SemiBold"/>
          <w:b/>
          <w:color w:val="003399"/>
          <w:szCs w:val="24"/>
        </w:rPr>
        <w:t>Programme Measure 2.1: Supporting transition towards green energy</w:t>
      </w:r>
    </w:p>
    <w:p w14:paraId="6800649A" w14:textId="792A8652" w:rsidR="00736C10" w:rsidRPr="006D7F58" w:rsidRDefault="00736C10" w:rsidP="003C58C0">
      <w:pPr>
        <w:spacing w:line="360" w:lineRule="auto"/>
      </w:pPr>
      <w:r w:rsidRPr="006D7F58">
        <w:t xml:space="preserve">Improvement </w:t>
      </w:r>
      <w:r w:rsidR="00AB0086" w:rsidRPr="006D7F58">
        <w:t xml:space="preserve">with </w:t>
      </w:r>
      <w:r w:rsidRPr="006D7F58">
        <w:t xml:space="preserve">regard </w:t>
      </w:r>
      <w:r w:rsidR="00AB0086" w:rsidRPr="006D7F58">
        <w:t xml:space="preserve">to </w:t>
      </w:r>
      <w:r w:rsidR="00EA18D4" w:rsidRPr="006D7F58">
        <w:t xml:space="preserve">the </w:t>
      </w:r>
      <w:r w:rsidRPr="006D7F58">
        <w:t>use of renewable energy sources, increase</w:t>
      </w:r>
      <w:r w:rsidR="00AB0086" w:rsidRPr="006D7F58">
        <w:t>d</w:t>
      </w:r>
      <w:r w:rsidRPr="006D7F58">
        <w:t xml:space="preserve"> renewable energy production and development of the </w:t>
      </w:r>
      <w:r w:rsidR="00EA18D4" w:rsidRPr="006D7F58">
        <w:t>related</w:t>
      </w:r>
      <w:r w:rsidRPr="006D7F58">
        <w:t xml:space="preserve"> supplementary systems are one of the most important elements in the context of positioning the </w:t>
      </w:r>
      <w:r w:rsidR="00552D9F" w:rsidRPr="006D7F58">
        <w:t>S</w:t>
      </w:r>
      <w:r w:rsidR="007F76EE" w:rsidRPr="006D7F58">
        <w:t xml:space="preserve">outh Baltic </w:t>
      </w:r>
      <w:r w:rsidR="000A78E0" w:rsidRPr="006D7F58">
        <w:t>a</w:t>
      </w:r>
      <w:r w:rsidR="007F76EE" w:rsidRPr="006D7F58">
        <w:t>rea</w:t>
      </w:r>
      <w:r w:rsidRPr="006D7F58">
        <w:t xml:space="preserve"> as a leader in terms of </w:t>
      </w:r>
      <w:r w:rsidR="00AB0086" w:rsidRPr="006D7F58">
        <w:t xml:space="preserve">the </w:t>
      </w:r>
      <w:r w:rsidRPr="006D7F58">
        <w:t>blue and green economy. Cross-border cooperation is anticipated to be aimed at raising awareness of the need for developing solutions to improve the production and use of renewable energy, which can further help</w:t>
      </w:r>
      <w:r w:rsidR="00AB0086" w:rsidRPr="006D7F58">
        <w:t xml:space="preserve"> in</w:t>
      </w:r>
      <w:r w:rsidRPr="006D7F58">
        <w:t xml:space="preserve"> implementing the energy transitions. </w:t>
      </w:r>
      <w:r w:rsidR="007F76EE" w:rsidRPr="006D7F58">
        <w:t xml:space="preserve">Solutions may include complementary actions focusing on developing and adapting systems of energy storage and distribution </w:t>
      </w:r>
      <w:r w:rsidR="00B7310E" w:rsidRPr="006D7F58">
        <w:t>to</w:t>
      </w:r>
      <w:r w:rsidR="007F76EE" w:rsidRPr="006D7F58">
        <w:t xml:space="preserve"> ensure the safe and efficient use of renewable energy.</w:t>
      </w:r>
    </w:p>
    <w:p w14:paraId="722051F7" w14:textId="77777777" w:rsidR="00736C10" w:rsidRPr="006D7F58" w:rsidRDefault="00736C10" w:rsidP="003C58C0">
      <w:pPr>
        <w:spacing w:line="360" w:lineRule="auto"/>
      </w:pPr>
      <w:r w:rsidRPr="006D7F58">
        <w:t>The Measure supports:</w:t>
      </w:r>
    </w:p>
    <w:p w14:paraId="6DB891B2" w14:textId="77777777" w:rsidR="00430EF4" w:rsidRPr="006D7F58" w:rsidRDefault="00736C10" w:rsidP="003C58C0">
      <w:pPr>
        <w:pStyle w:val="ListParagraph"/>
        <w:numPr>
          <w:ilvl w:val="0"/>
          <w:numId w:val="41"/>
        </w:numPr>
        <w:spacing w:line="360" w:lineRule="auto"/>
      </w:pPr>
      <w:r w:rsidRPr="006D7F58">
        <w:t>Development and introduction of cross-border solutions supporting the production and use of renewable energy.</w:t>
      </w:r>
    </w:p>
    <w:p w14:paraId="0D6A45E0" w14:textId="30B67C1A" w:rsidR="00430EF4" w:rsidRPr="006D7F58" w:rsidRDefault="00736C10" w:rsidP="003C58C0">
      <w:pPr>
        <w:pStyle w:val="ListParagraph"/>
        <w:numPr>
          <w:ilvl w:val="0"/>
          <w:numId w:val="41"/>
        </w:numPr>
        <w:spacing w:line="360" w:lineRule="auto"/>
      </w:pPr>
      <w:r w:rsidRPr="006D7F58">
        <w:t xml:space="preserve">Facilitation and popularisation of </w:t>
      </w:r>
      <w:r w:rsidR="00AB0086" w:rsidRPr="006D7F58">
        <w:t xml:space="preserve">the </w:t>
      </w:r>
      <w:r w:rsidRPr="006D7F58">
        <w:t>use of renewable energy sources.</w:t>
      </w:r>
    </w:p>
    <w:p w14:paraId="3147F811" w14:textId="171C8E8E" w:rsidR="00736C10" w:rsidRPr="006D7F58" w:rsidRDefault="00AB0086" w:rsidP="003C58C0">
      <w:pPr>
        <w:pStyle w:val="ListParagraph"/>
        <w:numPr>
          <w:ilvl w:val="0"/>
          <w:numId w:val="41"/>
        </w:numPr>
        <w:spacing w:line="360" w:lineRule="auto"/>
      </w:pPr>
      <w:r w:rsidRPr="006D7F58">
        <w:lastRenderedPageBreak/>
        <w:t>Capacity-</w:t>
      </w:r>
      <w:r w:rsidR="00736C10" w:rsidRPr="006D7F58">
        <w:t>building actions, transfer of knowledge and elaboration of green policy strategies.</w:t>
      </w:r>
    </w:p>
    <w:p w14:paraId="31046E48" w14:textId="77777777" w:rsidR="00736C10" w:rsidRPr="00214AE9" w:rsidRDefault="00736C10" w:rsidP="003C58C0">
      <w:pPr>
        <w:spacing w:line="360" w:lineRule="auto"/>
        <w:rPr>
          <w:rFonts w:ascii="Segoe UI" w:hAnsi="Segoe UI" w:cs="Segoe UI"/>
          <w:lang w:val="en-GB"/>
        </w:rPr>
      </w:pPr>
      <w:r w:rsidRPr="006D7F58">
        <w:t>The indicative list of cross-border activities includes:</w:t>
      </w:r>
    </w:p>
    <w:p w14:paraId="03525C6A" w14:textId="77777777" w:rsidR="00430EF4" w:rsidRPr="006D7F58" w:rsidRDefault="00736C10" w:rsidP="003C58C0">
      <w:pPr>
        <w:pStyle w:val="ListParagraph"/>
        <w:numPr>
          <w:ilvl w:val="0"/>
          <w:numId w:val="2"/>
        </w:numPr>
        <w:spacing w:line="360" w:lineRule="auto"/>
      </w:pPr>
      <w:r w:rsidRPr="006D7F58">
        <w:t>Promotion of:</w:t>
      </w:r>
    </w:p>
    <w:p w14:paraId="04E8F90E" w14:textId="6E13375E" w:rsidR="00430EF4" w:rsidRPr="006D7F58" w:rsidRDefault="00736C10" w:rsidP="003C58C0">
      <w:pPr>
        <w:pStyle w:val="ListParagraph"/>
        <w:numPr>
          <w:ilvl w:val="0"/>
          <w:numId w:val="39"/>
        </w:numPr>
        <w:spacing w:line="360" w:lineRule="auto"/>
      </w:pPr>
      <w:r w:rsidRPr="006D7F58">
        <w:t>areas of cooperation regarding energy policies, e.g., joint strategy development, joint studies, action plans and joint development of harmonisation tools, spatial development plans</w:t>
      </w:r>
      <w:r w:rsidR="00AB0086" w:rsidRPr="006D7F58">
        <w:t>,</w:t>
      </w:r>
      <w:r w:rsidRPr="006D7F58">
        <w:t xml:space="preserve"> etc.</w:t>
      </w:r>
    </w:p>
    <w:p w14:paraId="26690719" w14:textId="2FF4D696" w:rsidR="00736C10" w:rsidRPr="006D7F58" w:rsidRDefault="00736C10" w:rsidP="003C58C0">
      <w:pPr>
        <w:pStyle w:val="ListParagraph"/>
        <w:numPr>
          <w:ilvl w:val="0"/>
          <w:numId w:val="39"/>
        </w:numPr>
        <w:spacing w:line="360" w:lineRule="auto"/>
      </w:pPr>
      <w:r w:rsidRPr="006D7F58">
        <w:t>the use of renewable energy and green fuels</w:t>
      </w:r>
      <w:r w:rsidR="00D53FDB" w:rsidRPr="006D7F58">
        <w:t xml:space="preserve">, </w:t>
      </w:r>
      <w:r w:rsidRPr="006D7F58">
        <w:t>e.g., pilots</w:t>
      </w:r>
      <w:r w:rsidR="00AB0086" w:rsidRPr="006D7F58">
        <w:t>,</w:t>
      </w:r>
      <w:r w:rsidRPr="006D7F58">
        <w:t xml:space="preserve"> and knowledge exchange and best practices in the maritime sector and support </w:t>
      </w:r>
      <w:r w:rsidR="00AB0086" w:rsidRPr="006D7F58">
        <w:t xml:space="preserve">in </w:t>
      </w:r>
      <w:r w:rsidRPr="006D7F58">
        <w:t>establishing new markets in the area;</w:t>
      </w:r>
    </w:p>
    <w:p w14:paraId="40B3EB17" w14:textId="1D232FD3" w:rsidR="00430EF4" w:rsidRPr="006D7F58" w:rsidRDefault="00736C10" w:rsidP="003C58C0">
      <w:pPr>
        <w:pStyle w:val="ListParagraph"/>
        <w:numPr>
          <w:ilvl w:val="0"/>
          <w:numId w:val="2"/>
        </w:numPr>
        <w:spacing w:line="360" w:lineRule="auto"/>
      </w:pPr>
      <w:r w:rsidRPr="006D7F58">
        <w:t xml:space="preserve">Development, demonstration and implementation of solutions in </w:t>
      </w:r>
      <w:r w:rsidR="00AB0086" w:rsidRPr="006D7F58">
        <w:t xml:space="preserve">the </w:t>
      </w:r>
      <w:r w:rsidRPr="006D7F58">
        <w:t>production and utilisation of energy from renewable sources</w:t>
      </w:r>
      <w:r w:rsidR="007628D4">
        <w:t>.</w:t>
      </w:r>
    </w:p>
    <w:p w14:paraId="7A1315B4" w14:textId="7AEC662C" w:rsidR="00430EF4" w:rsidRPr="006D7F58" w:rsidRDefault="00736C10" w:rsidP="003C58C0">
      <w:pPr>
        <w:pStyle w:val="ListParagraph"/>
        <w:numPr>
          <w:ilvl w:val="0"/>
          <w:numId w:val="2"/>
        </w:numPr>
        <w:spacing w:line="360" w:lineRule="auto"/>
      </w:pPr>
      <w:r w:rsidRPr="006D7F58">
        <w:t>Elaboration and testing of common standards in renewable energy by public entities, in cooperation with universities, research centres, companies and cooperatives of farmers and residents</w:t>
      </w:r>
      <w:r w:rsidR="007628D4">
        <w:t>.</w:t>
      </w:r>
    </w:p>
    <w:p w14:paraId="72C92748" w14:textId="23B42B35" w:rsidR="00552D9F" w:rsidRPr="006D7F58" w:rsidRDefault="00552D9F" w:rsidP="003C58C0">
      <w:pPr>
        <w:pStyle w:val="ListParagraph"/>
        <w:numPr>
          <w:ilvl w:val="0"/>
          <w:numId w:val="2"/>
        </w:numPr>
        <w:spacing w:line="360" w:lineRule="auto"/>
      </w:pPr>
      <w:r w:rsidRPr="006D7F58">
        <w:t>Elaboration of joint green policy strategies and patterns to overcome challenges and mobilise regional opportunities for renewable energies</w:t>
      </w:r>
      <w:r w:rsidR="007628D4">
        <w:t>.</w:t>
      </w:r>
    </w:p>
    <w:p w14:paraId="18DB7778" w14:textId="4F0ED4EE" w:rsidR="004676B1" w:rsidRDefault="00AB0086" w:rsidP="003C58C0">
      <w:pPr>
        <w:pStyle w:val="ListParagraph"/>
        <w:numPr>
          <w:ilvl w:val="0"/>
          <w:numId w:val="2"/>
        </w:numPr>
        <w:spacing w:line="360" w:lineRule="auto"/>
      </w:pPr>
      <w:r w:rsidRPr="006D7F58">
        <w:t>Capacity-</w:t>
      </w:r>
      <w:r w:rsidR="00736C10" w:rsidRPr="006D7F58">
        <w:t>building actions, transfer of knowledge and exchange of best practices on renewable energy, green technology solutions.</w:t>
      </w:r>
    </w:p>
    <w:p w14:paraId="68EB1CDB" w14:textId="30B7F865" w:rsidR="003C58C0" w:rsidRDefault="003C58C0" w:rsidP="003C58C0">
      <w:pPr>
        <w:spacing w:line="360" w:lineRule="auto"/>
      </w:pPr>
      <w:r>
        <w:rPr>
          <w:noProof/>
        </w:rPr>
        <mc:AlternateContent>
          <mc:Choice Requires="wps">
            <w:drawing>
              <wp:inline distT="0" distB="0" distL="0" distR="0" wp14:anchorId="1CC10938" wp14:editId="348B6A9B">
                <wp:extent cx="5772785" cy="1838325"/>
                <wp:effectExtent l="0" t="0" r="18415" b="28575"/>
                <wp:docPr id="1551272969"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1838325"/>
                        </a:xfrm>
                        <a:prstGeom prst="rect">
                          <a:avLst/>
                        </a:prstGeom>
                        <a:ln w="12700">
                          <a:solidFill>
                            <a:srgbClr val="003399"/>
                          </a:solidFill>
                          <a:prstDash val="solid"/>
                        </a:ln>
                      </wps:spPr>
                      <wps:txbx>
                        <w:txbxContent>
                          <w:p w14:paraId="05485B87" w14:textId="77777777" w:rsidR="003C58C0" w:rsidRPr="00AF2B0C" w:rsidRDefault="003C58C0" w:rsidP="003C58C0">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43EC0576" w14:textId="77777777" w:rsidR="003C58C0" w:rsidRPr="00AF2B0C" w:rsidRDefault="003C58C0" w:rsidP="003C58C0">
                            <w:pPr>
                              <w:pStyle w:val="BodyText"/>
                              <w:numPr>
                                <w:ilvl w:val="0"/>
                                <w:numId w:val="77"/>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509A5B47" w14:textId="77777777" w:rsidR="003C58C0" w:rsidRPr="00AF2B0C" w:rsidRDefault="003C58C0" w:rsidP="003C58C0">
                            <w:pPr>
                              <w:pStyle w:val="BodyText"/>
                              <w:numPr>
                                <w:ilvl w:val="0"/>
                                <w:numId w:val="77"/>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4CACA3B6" w14:textId="77777777" w:rsidR="003C58C0" w:rsidRPr="00AF2B0C" w:rsidRDefault="003C58C0" w:rsidP="003C58C0">
                            <w:pPr>
                              <w:pStyle w:val="BodyText"/>
                              <w:numPr>
                                <w:ilvl w:val="0"/>
                                <w:numId w:val="77"/>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16114CB2" w14:textId="77777777" w:rsidR="003C58C0" w:rsidRPr="002E2B63" w:rsidRDefault="003C58C0" w:rsidP="003C58C0">
                            <w:pPr>
                              <w:pStyle w:val="BodyText"/>
                              <w:rPr>
                                <w:rFonts w:eastAsia="Open Sans"/>
                              </w:rPr>
                            </w:pPr>
                          </w:p>
                        </w:txbxContent>
                      </wps:txbx>
                      <wps:bodyPr wrap="square" lIns="0" tIns="0" rIns="0" bIns="0" rtlCol="0">
                        <a:noAutofit/>
                      </wps:bodyPr>
                    </wps:wsp>
                  </a:graphicData>
                </a:graphic>
              </wp:inline>
            </w:drawing>
          </mc:Choice>
          <mc:Fallback>
            <w:pict>
              <v:shape w14:anchorId="1CC10938" id="_x0000_s1034" type="#_x0000_t202" style="width:454.55pt;height:14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" filled="f" strokecolor="#039" strokeweight="1pt">
                <v:path arrowok="t"/>
                <v:textbox inset="0,0,0,0">
                  <w:txbxContent>
                    <w:p w14:paraId="05485B87" w14:textId="77777777" w:rsidR="003C58C0" w:rsidRPr="00AF2B0C" w:rsidRDefault="003C58C0" w:rsidP="003C58C0">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43EC0576" w14:textId="77777777" w:rsidR="003C58C0" w:rsidRPr="00AF2B0C" w:rsidRDefault="003C58C0" w:rsidP="003C58C0">
                      <w:pPr>
                        <w:pStyle w:val="BodyText"/>
                        <w:numPr>
                          <w:ilvl w:val="0"/>
                          <w:numId w:val="77"/>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509A5B47" w14:textId="77777777" w:rsidR="003C58C0" w:rsidRPr="00AF2B0C" w:rsidRDefault="003C58C0" w:rsidP="003C58C0">
                      <w:pPr>
                        <w:pStyle w:val="BodyText"/>
                        <w:numPr>
                          <w:ilvl w:val="0"/>
                          <w:numId w:val="77"/>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4CACA3B6" w14:textId="77777777" w:rsidR="003C58C0" w:rsidRPr="00AF2B0C" w:rsidRDefault="003C58C0" w:rsidP="003C58C0">
                      <w:pPr>
                        <w:pStyle w:val="BodyText"/>
                        <w:numPr>
                          <w:ilvl w:val="0"/>
                          <w:numId w:val="77"/>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16114CB2" w14:textId="77777777" w:rsidR="003C58C0" w:rsidRPr="002E2B63" w:rsidRDefault="003C58C0" w:rsidP="003C58C0">
                      <w:pPr>
                        <w:pStyle w:val="BodyText"/>
                        <w:rPr>
                          <w:rFonts w:eastAsia="Open Sans"/>
                        </w:rPr>
                      </w:pPr>
                    </w:p>
                  </w:txbxContent>
                </v:textbox>
                <w10:anchorlock/>
              </v:shape>
            </w:pict>
          </mc:Fallback>
        </mc:AlternateContent>
      </w:r>
    </w:p>
    <w:tbl>
      <w:tblPr>
        <w:tblStyle w:val="TableNormal1"/>
        <w:tblW w:w="9090" w:type="dxa"/>
        <w:tblInd w:w="-1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Indicators for Measure 2.1"/>
        <w:tblDescription w:val="Output indicators&#10;Obligatory output indicator&#10;• Jointly developed solutions&#10;Optional output indicator (Projects shall select and contribute to other Programme indicators according to the focus and activities of the project)&#10;• Pilot actions developed jointly and implemented in projects&#10;Result indicators&#10;Obligatory result indicators&#10;• Solutions taken up or up-scaled by organisations"/>
      </w:tblPr>
      <w:tblGrid>
        <w:gridCol w:w="1564"/>
        <w:gridCol w:w="3566"/>
        <w:gridCol w:w="3960"/>
      </w:tblGrid>
      <w:tr w:rsidR="006D7F58" w14:paraId="10482D92" w14:textId="77777777" w:rsidTr="003B722E">
        <w:trPr>
          <w:trHeight w:val="500"/>
        </w:trPr>
        <w:tc>
          <w:tcPr>
            <w:tcW w:w="1564" w:type="dxa"/>
            <w:tcBorders>
              <w:left w:val="single" w:sz="12" w:space="0" w:color="003399"/>
              <w:bottom w:val="single" w:sz="12" w:space="0" w:color="003399"/>
              <w:right w:val="single" w:sz="12" w:space="0" w:color="003399"/>
            </w:tcBorders>
            <w:vAlign w:val="center"/>
          </w:tcPr>
          <w:p w14:paraId="3B6DECF1" w14:textId="67DDEC4F" w:rsidR="006D7F58" w:rsidRDefault="00AF2B0C" w:rsidP="003C58C0">
            <w:pPr>
              <w:pStyle w:val="TableParagraph"/>
              <w:spacing w:line="360" w:lineRule="auto"/>
            </w:pPr>
            <w:r>
              <w:rPr>
                <w:sz w:val="20"/>
                <w:szCs w:val="20"/>
              </w:rPr>
              <w:lastRenderedPageBreak/>
              <w:br w:type="page"/>
            </w:r>
          </w:p>
        </w:tc>
        <w:tc>
          <w:tcPr>
            <w:tcW w:w="3566" w:type="dxa"/>
            <w:tcBorders>
              <w:left w:val="single" w:sz="12" w:space="0" w:color="003399"/>
              <w:bottom w:val="single" w:sz="12" w:space="0" w:color="003399"/>
              <w:right w:val="single" w:sz="12" w:space="0" w:color="003399"/>
            </w:tcBorders>
            <w:vAlign w:val="center"/>
          </w:tcPr>
          <w:p w14:paraId="0327BAD0" w14:textId="41EF80E2" w:rsidR="006D7F58" w:rsidRDefault="006D7F58" w:rsidP="003C58C0">
            <w:pPr>
              <w:pStyle w:val="TableParagraph"/>
              <w:spacing w:line="360" w:lineRule="auto"/>
            </w:pPr>
            <w:r>
              <w:t>Output</w:t>
            </w:r>
            <w:r>
              <w:rPr>
                <w:spacing w:val="16"/>
              </w:rPr>
              <w:t xml:space="preserve"> </w:t>
            </w:r>
            <w:r>
              <w:t>indicators</w:t>
            </w:r>
          </w:p>
        </w:tc>
        <w:tc>
          <w:tcPr>
            <w:tcW w:w="3960" w:type="dxa"/>
            <w:tcBorders>
              <w:left w:val="single" w:sz="12" w:space="0" w:color="003399"/>
              <w:bottom w:val="single" w:sz="12" w:space="0" w:color="003399"/>
              <w:right w:val="single" w:sz="12" w:space="0" w:color="003399"/>
            </w:tcBorders>
            <w:vAlign w:val="center"/>
          </w:tcPr>
          <w:p w14:paraId="26366833" w14:textId="77777777" w:rsidR="006D7F58" w:rsidRDefault="006D7F58" w:rsidP="003C58C0">
            <w:pPr>
              <w:pStyle w:val="TableParagraph"/>
              <w:spacing w:line="360" w:lineRule="auto"/>
            </w:pPr>
            <w:r>
              <w:t>Results</w:t>
            </w:r>
            <w:r>
              <w:rPr>
                <w:spacing w:val="21"/>
              </w:rPr>
              <w:t xml:space="preserve"> </w:t>
            </w:r>
            <w:r>
              <w:t>indicators</w:t>
            </w:r>
          </w:p>
        </w:tc>
      </w:tr>
      <w:tr w:rsidR="006D7F58" w:rsidRPr="00805C22" w14:paraId="2CF34A8E" w14:textId="77777777" w:rsidTr="003B722E">
        <w:trPr>
          <w:trHeight w:val="717"/>
        </w:trPr>
        <w:tc>
          <w:tcPr>
            <w:tcW w:w="1564" w:type="dxa"/>
            <w:tcBorders>
              <w:top w:val="single" w:sz="12" w:space="0" w:color="003399"/>
              <w:left w:val="single" w:sz="12" w:space="0" w:color="003399"/>
              <w:bottom w:val="single" w:sz="12" w:space="0" w:color="003399"/>
              <w:right w:val="single" w:sz="12" w:space="0" w:color="003399"/>
            </w:tcBorders>
            <w:vAlign w:val="center"/>
          </w:tcPr>
          <w:p w14:paraId="3C08F7A1" w14:textId="77777777" w:rsidR="006D7F58" w:rsidRDefault="006D7F58" w:rsidP="003C58C0">
            <w:pPr>
              <w:pStyle w:val="TableParagraph"/>
              <w:spacing w:line="360" w:lineRule="auto"/>
            </w:pPr>
            <w:r>
              <w:rPr>
                <w:w w:val="105"/>
              </w:rPr>
              <w:t>Obligatory</w:t>
            </w:r>
          </w:p>
        </w:tc>
        <w:tc>
          <w:tcPr>
            <w:tcW w:w="3566" w:type="dxa"/>
            <w:tcBorders>
              <w:top w:val="single" w:sz="12" w:space="0" w:color="003399"/>
              <w:left w:val="single" w:sz="12" w:space="0" w:color="003399"/>
              <w:bottom w:val="single" w:sz="12" w:space="0" w:color="003399"/>
              <w:right w:val="single" w:sz="12" w:space="0" w:color="003399"/>
            </w:tcBorders>
            <w:vAlign w:val="center"/>
          </w:tcPr>
          <w:p w14:paraId="3F10C12B" w14:textId="77777777" w:rsidR="006D7F58" w:rsidRDefault="006D7F58" w:rsidP="003C58C0">
            <w:pPr>
              <w:pStyle w:val="TableParagraph"/>
              <w:spacing w:line="360" w:lineRule="auto"/>
            </w:pPr>
            <w:r>
              <w:t>Jointly</w:t>
            </w:r>
            <w:r>
              <w:rPr>
                <w:spacing w:val="24"/>
              </w:rPr>
              <w:t xml:space="preserve"> </w:t>
            </w:r>
            <w:r>
              <w:t>developed</w:t>
            </w:r>
            <w:r>
              <w:rPr>
                <w:spacing w:val="24"/>
              </w:rPr>
              <w:t xml:space="preserve"> </w:t>
            </w:r>
            <w:r>
              <w:rPr>
                <w:spacing w:val="-2"/>
              </w:rPr>
              <w:t>solutions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00CF54C2" w14:textId="77777777" w:rsidR="006D7F58" w:rsidRDefault="006D7F58" w:rsidP="003C58C0">
            <w:pPr>
              <w:pStyle w:val="TableParagraph"/>
              <w:spacing w:line="360" w:lineRule="auto"/>
            </w:pPr>
            <w:r>
              <w:rPr>
                <w:w w:val="105"/>
              </w:rPr>
              <w:t>Solutions</w:t>
            </w:r>
            <w:r>
              <w:rPr>
                <w:spacing w:val="-9"/>
                <w:w w:val="105"/>
              </w:rPr>
              <w:t xml:space="preserve"> </w:t>
            </w:r>
            <w:r>
              <w:rPr>
                <w:w w:val="105"/>
              </w:rPr>
              <w:t>taken</w:t>
            </w:r>
            <w:r>
              <w:rPr>
                <w:spacing w:val="-9"/>
                <w:w w:val="105"/>
              </w:rPr>
              <w:t xml:space="preserve"> </w:t>
            </w:r>
            <w:r>
              <w:rPr>
                <w:w w:val="105"/>
              </w:rPr>
              <w:t>up</w:t>
            </w:r>
            <w:r>
              <w:rPr>
                <w:spacing w:val="-9"/>
                <w:w w:val="105"/>
              </w:rPr>
              <w:t xml:space="preserve"> </w:t>
            </w:r>
            <w:r>
              <w:rPr>
                <w:w w:val="105"/>
              </w:rPr>
              <w:t>or</w:t>
            </w:r>
            <w:r>
              <w:rPr>
                <w:spacing w:val="-9"/>
                <w:w w:val="105"/>
              </w:rPr>
              <w:t xml:space="preserve"> </w:t>
            </w:r>
            <w:r>
              <w:rPr>
                <w:w w:val="105"/>
              </w:rPr>
              <w:t>up-scaled</w:t>
            </w:r>
            <w:r>
              <w:rPr>
                <w:spacing w:val="-9"/>
                <w:w w:val="105"/>
              </w:rPr>
              <w:t xml:space="preserve"> </w:t>
            </w:r>
            <w:r>
              <w:rPr>
                <w:w w:val="105"/>
              </w:rPr>
              <w:t>by organisations</w:t>
            </w:r>
          </w:p>
        </w:tc>
      </w:tr>
      <w:tr w:rsidR="006D7F58" w:rsidRPr="00805C22" w14:paraId="22741412" w14:textId="77777777" w:rsidTr="003B722E">
        <w:trPr>
          <w:trHeight w:val="870"/>
        </w:trPr>
        <w:tc>
          <w:tcPr>
            <w:tcW w:w="1564" w:type="dxa"/>
            <w:tcBorders>
              <w:top w:val="single" w:sz="12" w:space="0" w:color="003399"/>
              <w:left w:val="single" w:sz="12" w:space="0" w:color="003399"/>
              <w:right w:val="single" w:sz="12" w:space="0" w:color="003399"/>
            </w:tcBorders>
            <w:vAlign w:val="center"/>
          </w:tcPr>
          <w:p w14:paraId="0C7FE648" w14:textId="2375954C" w:rsidR="006D7F58" w:rsidRDefault="006D7F58" w:rsidP="003C58C0">
            <w:pPr>
              <w:pStyle w:val="TableParagraph"/>
              <w:spacing w:line="360" w:lineRule="auto"/>
              <w:rPr>
                <w:sz w:val="12"/>
              </w:rPr>
            </w:pPr>
            <w:r>
              <w:rPr>
                <w:w w:val="105"/>
              </w:rPr>
              <w:t>Option</w:t>
            </w:r>
            <w:r w:rsidRPr="00312982">
              <w:rPr>
                <w:w w:val="105"/>
              </w:rPr>
              <w:t>al</w:t>
            </w:r>
            <w:r w:rsidR="00312982" w:rsidRPr="00312982">
              <w:rPr>
                <w:rStyle w:val="FootnoteReference"/>
                <w:rFonts w:ascii="Open Sans SemiBold"/>
                <w:b/>
                <w:color w:val="003399"/>
                <w:spacing w:val="-2"/>
                <w:w w:val="105"/>
                <w:sz w:val="20"/>
              </w:rPr>
              <w:footnoteReference w:id="12"/>
            </w:r>
          </w:p>
        </w:tc>
        <w:tc>
          <w:tcPr>
            <w:tcW w:w="3566" w:type="dxa"/>
            <w:tcBorders>
              <w:top w:val="single" w:sz="12" w:space="0" w:color="003399"/>
              <w:left w:val="single" w:sz="12" w:space="0" w:color="003399"/>
              <w:right w:val="single" w:sz="12" w:space="0" w:color="003399"/>
            </w:tcBorders>
            <w:vAlign w:val="center"/>
          </w:tcPr>
          <w:p w14:paraId="21B21C15" w14:textId="77777777" w:rsidR="006D7F58" w:rsidRDefault="006D7F58" w:rsidP="003C58C0">
            <w:pPr>
              <w:pStyle w:val="TableParagraph"/>
              <w:spacing w:line="360" w:lineRule="auto"/>
            </w:pPr>
            <w:r w:rsidRPr="006D7F58">
              <w:rPr>
                <w:w w:val="105"/>
              </w:rPr>
              <w:t>Pilot actions developed jointly and implemented in projects</w:t>
            </w:r>
          </w:p>
        </w:tc>
        <w:tc>
          <w:tcPr>
            <w:tcW w:w="3960" w:type="dxa"/>
            <w:tcBorders>
              <w:top w:val="single" w:sz="12" w:space="0" w:color="003399"/>
              <w:left w:val="single" w:sz="12" w:space="0" w:color="003399"/>
              <w:right w:val="single" w:sz="12" w:space="0" w:color="003399"/>
            </w:tcBorders>
            <w:vAlign w:val="center"/>
          </w:tcPr>
          <w:p w14:paraId="48EC0B23" w14:textId="77777777" w:rsidR="006D7F58" w:rsidRDefault="006D7F58" w:rsidP="003C58C0">
            <w:pPr>
              <w:pStyle w:val="TableParagraph"/>
              <w:spacing w:line="360" w:lineRule="auto"/>
            </w:pPr>
          </w:p>
        </w:tc>
      </w:tr>
    </w:tbl>
    <w:p w14:paraId="03A3ADA9" w14:textId="77777777" w:rsidR="00AE642A" w:rsidRDefault="00AE642A" w:rsidP="003C58C0">
      <w:pPr>
        <w:spacing w:line="360" w:lineRule="auto"/>
      </w:pPr>
    </w:p>
    <w:p w14:paraId="1FBDABDE" w14:textId="2B700605" w:rsidR="00736C10" w:rsidRPr="00AF2B0C" w:rsidRDefault="00736C10" w:rsidP="003C58C0">
      <w:pPr>
        <w:spacing w:line="360" w:lineRule="auto"/>
        <w:rPr>
          <w:rFonts w:ascii="Open Sans SemiBold" w:eastAsia="Open Sans SemiBold" w:hAnsi="Open Sans SemiBold" w:cs="Open Sans SemiBold"/>
          <w:b/>
          <w:color w:val="003399"/>
          <w:szCs w:val="24"/>
        </w:rPr>
      </w:pPr>
      <w:r w:rsidRPr="00AF2B0C">
        <w:rPr>
          <w:rFonts w:ascii="Open Sans SemiBold" w:eastAsia="Open Sans SemiBold" w:hAnsi="Open Sans SemiBold" w:cs="Open Sans SemiBold"/>
          <w:b/>
          <w:color w:val="003399"/>
          <w:szCs w:val="24"/>
        </w:rPr>
        <w:t>Programme Measure 2.2: Promoting sustainable use of water</w:t>
      </w:r>
    </w:p>
    <w:p w14:paraId="4A772EF3" w14:textId="3201E47E" w:rsidR="00736C10" w:rsidRPr="006D7F58" w:rsidRDefault="00736C10" w:rsidP="003C58C0">
      <w:pPr>
        <w:spacing w:line="360" w:lineRule="auto"/>
      </w:pPr>
      <w:r w:rsidRPr="006D7F58">
        <w:t xml:space="preserve">The Baltic Sea and its tributaries suffer from a high level of pollution (e.g., plastics and chemicals) and eutrophication. Both are consequences of the unsustainable exploitation of the local environment and water reservoirs. Moreover, </w:t>
      </w:r>
      <w:r w:rsidR="0066263B" w:rsidRPr="006D7F58">
        <w:t xml:space="preserve">the consequences of </w:t>
      </w:r>
      <w:r w:rsidRPr="006D7F58">
        <w:t xml:space="preserve">climate change will result in enhanced risk of marine and flash floods, producing more intensive fluxes of pollutants into the Baltic Sea. Actions under this measure should aim at broadening </w:t>
      </w:r>
      <w:r w:rsidR="0066263B" w:rsidRPr="006D7F58">
        <w:t xml:space="preserve">the </w:t>
      </w:r>
      <w:r w:rsidRPr="006D7F58">
        <w:t>support of efficient and sustainable water management, especially in the field of reducing the outlets of nutrients and hazardous substances into river-basins, and subsequently the Baltic Sea</w:t>
      </w:r>
      <w:r w:rsidR="0066263B" w:rsidRPr="006D7F58">
        <w:t>,</w:t>
      </w:r>
      <w:r w:rsidRPr="006D7F58">
        <w:t xml:space="preserve"> to enhance the water quality.</w:t>
      </w:r>
    </w:p>
    <w:p w14:paraId="7CBD4FB4" w14:textId="77777777" w:rsidR="00736C10" w:rsidRPr="006D7F58" w:rsidRDefault="00736C10" w:rsidP="003C58C0">
      <w:pPr>
        <w:spacing w:line="360" w:lineRule="auto"/>
      </w:pPr>
      <w:r w:rsidRPr="006D7F58">
        <w:t>The Measure supports:</w:t>
      </w:r>
    </w:p>
    <w:p w14:paraId="35F0AF69" w14:textId="327F7FCE" w:rsidR="003D226B" w:rsidRPr="006D7F58" w:rsidRDefault="00186A08" w:rsidP="003C58C0">
      <w:pPr>
        <w:pStyle w:val="ListParagraph"/>
        <w:numPr>
          <w:ilvl w:val="0"/>
          <w:numId w:val="42"/>
        </w:numPr>
        <w:spacing w:line="360" w:lineRule="auto"/>
      </w:pPr>
      <w:r w:rsidRPr="007628D4">
        <w:t>Efficient</w:t>
      </w:r>
      <w:r w:rsidR="00736C10" w:rsidRPr="006D7F58">
        <w:t xml:space="preserve"> and sustainable land use and water management.</w:t>
      </w:r>
    </w:p>
    <w:p w14:paraId="4D656DE5" w14:textId="3827AAA2" w:rsidR="003D226B" w:rsidRPr="006D7F58" w:rsidRDefault="00736C10" w:rsidP="003C58C0">
      <w:pPr>
        <w:pStyle w:val="ListParagraph"/>
        <w:numPr>
          <w:ilvl w:val="0"/>
          <w:numId w:val="42"/>
        </w:numPr>
        <w:spacing w:line="360" w:lineRule="auto"/>
      </w:pPr>
      <w:r w:rsidRPr="006D7F58">
        <w:t xml:space="preserve">Combating eutrophication and various hazardous substances in the aquatic environment for the </w:t>
      </w:r>
      <w:r w:rsidR="0066263B" w:rsidRPr="006D7F58">
        <w:t xml:space="preserve">purposes of </w:t>
      </w:r>
      <w:r w:rsidRPr="006D7F58">
        <w:t>water enhancement.</w:t>
      </w:r>
    </w:p>
    <w:p w14:paraId="11972A79" w14:textId="77777777" w:rsidR="00736C10" w:rsidRPr="006D7F58" w:rsidRDefault="00736C10" w:rsidP="003C58C0">
      <w:pPr>
        <w:spacing w:line="360" w:lineRule="auto"/>
      </w:pPr>
      <w:r w:rsidRPr="006D7F58">
        <w:t>The indicative list of cross-border activities includes:</w:t>
      </w:r>
    </w:p>
    <w:p w14:paraId="090C6932" w14:textId="77777777" w:rsidR="003D226B" w:rsidRPr="006D7F58" w:rsidRDefault="00736C10" w:rsidP="003C58C0">
      <w:pPr>
        <w:pStyle w:val="ListParagraph"/>
        <w:numPr>
          <w:ilvl w:val="0"/>
          <w:numId w:val="3"/>
        </w:numPr>
        <w:spacing w:line="360" w:lineRule="auto"/>
      </w:pPr>
      <w:r w:rsidRPr="006D7F58">
        <w:t xml:space="preserve">Promotion of: </w:t>
      </w:r>
    </w:p>
    <w:p w14:paraId="079DF9E6" w14:textId="39A63ED7" w:rsidR="00736C10" w:rsidRPr="006D7F58" w:rsidRDefault="00736C10" w:rsidP="003C58C0">
      <w:pPr>
        <w:pStyle w:val="ListParagraph"/>
        <w:numPr>
          <w:ilvl w:val="0"/>
          <w:numId w:val="39"/>
        </w:numPr>
        <w:spacing w:line="360" w:lineRule="auto"/>
      </w:pPr>
      <w:r w:rsidRPr="006D7F58">
        <w:lastRenderedPageBreak/>
        <w:t xml:space="preserve">areas of cooperation regarding the enhancement of </w:t>
      </w:r>
      <w:r w:rsidR="003B64FF" w:rsidRPr="006D7F58">
        <w:t>aquaculture</w:t>
      </w:r>
      <w:r w:rsidR="00C74728" w:rsidRPr="006D7F58">
        <w:t xml:space="preserve"> with the main focus on reducing eutrophication and pollution of the waters of the South Baltic Area</w:t>
      </w:r>
    </w:p>
    <w:p w14:paraId="5E992D0D" w14:textId="1B26B4EA" w:rsidR="003D226B" w:rsidRPr="006D7F58" w:rsidRDefault="003D226B" w:rsidP="003C58C0">
      <w:pPr>
        <w:pStyle w:val="ListParagraph"/>
        <w:numPr>
          <w:ilvl w:val="0"/>
          <w:numId w:val="39"/>
        </w:numPr>
        <w:spacing w:line="360" w:lineRule="auto"/>
      </w:pPr>
      <w:r w:rsidRPr="006D7F58">
        <w:t>areas of cooperation regarding water management policies, e.g., joint strategy development, joint studies, action plans</w:t>
      </w:r>
      <w:r w:rsidR="00DF6D4E" w:rsidRPr="006D7F58">
        <w:t>,</w:t>
      </w:r>
      <w:r w:rsidRPr="006D7F58">
        <w:t xml:space="preserve"> etc.;</w:t>
      </w:r>
    </w:p>
    <w:p w14:paraId="59320CCF" w14:textId="543D88E0" w:rsidR="003D226B" w:rsidRPr="006D7F58" w:rsidRDefault="00736C10" w:rsidP="003C58C0">
      <w:pPr>
        <w:pStyle w:val="ListParagraph"/>
        <w:numPr>
          <w:ilvl w:val="0"/>
          <w:numId w:val="3"/>
        </w:numPr>
        <w:spacing w:line="360" w:lineRule="auto"/>
      </w:pPr>
      <w:r w:rsidRPr="006D7F58">
        <w:t>Development</w:t>
      </w:r>
      <w:r w:rsidR="009A4BB1" w:rsidRPr="006D7F58">
        <w:t xml:space="preserve">, </w:t>
      </w:r>
      <w:r w:rsidR="00DF6D4E" w:rsidRPr="006D7F58">
        <w:t xml:space="preserve">demonstration </w:t>
      </w:r>
      <w:r w:rsidR="009A4BB1" w:rsidRPr="006D7F58">
        <w:t>and testing</w:t>
      </w:r>
      <w:r w:rsidRPr="006D7F58">
        <w:t xml:space="preserve"> of:</w:t>
      </w:r>
    </w:p>
    <w:p w14:paraId="23F5394E" w14:textId="39C57FF8" w:rsidR="003D226B" w:rsidRPr="006D7F58" w:rsidRDefault="00736C10" w:rsidP="003C58C0">
      <w:pPr>
        <w:pStyle w:val="ListParagraph"/>
        <w:numPr>
          <w:ilvl w:val="0"/>
          <w:numId w:val="39"/>
        </w:numPr>
        <w:spacing w:line="360" w:lineRule="auto"/>
      </w:pPr>
      <w:r w:rsidRPr="006D7F58">
        <w:t>green technology solutions in water management (including sustainable land use and wastewater collection and treatment)</w:t>
      </w:r>
      <w:r w:rsidR="009A4BB1" w:rsidRPr="006D7F58">
        <w:t xml:space="preserve"> and nature-based flood water management</w:t>
      </w:r>
    </w:p>
    <w:p w14:paraId="3AB4561A" w14:textId="6C06D1E4" w:rsidR="00736C10" w:rsidRPr="006D7F58" w:rsidRDefault="00736C10" w:rsidP="003C58C0">
      <w:pPr>
        <w:pStyle w:val="ListParagraph"/>
        <w:numPr>
          <w:ilvl w:val="0"/>
          <w:numId w:val="39"/>
        </w:numPr>
        <w:spacing w:line="360" w:lineRule="auto"/>
      </w:pPr>
      <w:r w:rsidRPr="006D7F58">
        <w:t xml:space="preserve">solutions for reducing </w:t>
      </w:r>
      <w:r w:rsidR="00DF6D4E" w:rsidRPr="006D7F58">
        <w:t xml:space="preserve">the </w:t>
      </w:r>
      <w:r w:rsidRPr="006D7F58">
        <w:t>pollution of the Baltic Sea by chemical munitions and other dangerous remains of sunken oil ships;</w:t>
      </w:r>
    </w:p>
    <w:p w14:paraId="356C5016" w14:textId="77777777" w:rsidR="009A4BB1" w:rsidRPr="006D7F58" w:rsidRDefault="009A4BB1" w:rsidP="003C58C0">
      <w:pPr>
        <w:pStyle w:val="ListParagraph"/>
        <w:numPr>
          <w:ilvl w:val="0"/>
          <w:numId w:val="3"/>
        </w:numPr>
        <w:spacing w:line="360" w:lineRule="auto"/>
      </w:pPr>
      <w:r w:rsidRPr="006D7F58">
        <w:t>Development and testing of:</w:t>
      </w:r>
    </w:p>
    <w:p w14:paraId="09BE85F0" w14:textId="68CB19F8" w:rsidR="009A4BB1" w:rsidRPr="006D7F58" w:rsidRDefault="009A4BB1" w:rsidP="003C58C0">
      <w:pPr>
        <w:pStyle w:val="ListParagraph"/>
        <w:numPr>
          <w:ilvl w:val="0"/>
          <w:numId w:val="39"/>
        </w:numPr>
        <w:spacing w:line="360" w:lineRule="auto"/>
      </w:pPr>
      <w:r w:rsidRPr="006D7F58">
        <w:t>innovative solutions aimed at decreasing the outflows of nutrients from small and diffuse sources in catchment areas (including evaluation of the cost effectiveness of solutions)</w:t>
      </w:r>
    </w:p>
    <w:p w14:paraId="4DBDFBDE" w14:textId="1DCB3558" w:rsidR="009A4BB1" w:rsidRPr="006D7F58" w:rsidRDefault="009A4BB1" w:rsidP="003C58C0">
      <w:pPr>
        <w:pStyle w:val="ListParagraph"/>
        <w:numPr>
          <w:ilvl w:val="0"/>
          <w:numId w:val="39"/>
        </w:numPr>
        <w:spacing w:line="360" w:lineRule="auto"/>
      </w:pPr>
      <w:r w:rsidRPr="006D7F58">
        <w:t xml:space="preserve">innovative solutions for sustainable water management that positively </w:t>
      </w:r>
      <w:r w:rsidR="00DF6D4E" w:rsidRPr="006D7F58">
        <w:t xml:space="preserve">influence </w:t>
      </w:r>
      <w:r w:rsidRPr="006D7F58">
        <w:t xml:space="preserve">the biodiversity in waters and the </w:t>
      </w:r>
      <w:r w:rsidR="00DF6D4E" w:rsidRPr="006D7F58">
        <w:t xml:space="preserve">protection of </w:t>
      </w:r>
      <w:r w:rsidRPr="006D7F58">
        <w:t>nature;</w:t>
      </w:r>
    </w:p>
    <w:p w14:paraId="3889AFB1" w14:textId="4AD00271" w:rsidR="009A4BB1" w:rsidRPr="006D7F58" w:rsidRDefault="009A4BB1" w:rsidP="003C58C0">
      <w:pPr>
        <w:pStyle w:val="ListParagraph"/>
        <w:numPr>
          <w:ilvl w:val="0"/>
          <w:numId w:val="3"/>
        </w:numPr>
        <w:spacing w:line="360" w:lineRule="auto"/>
      </w:pPr>
      <w:r w:rsidRPr="006D7F58">
        <w:t xml:space="preserve">Development of solutions </w:t>
      </w:r>
      <w:r w:rsidR="005D24CC" w:rsidRPr="006D7F58">
        <w:t xml:space="preserve">that </w:t>
      </w:r>
      <w:r w:rsidRPr="006D7F58">
        <w:t>help to secure various conflicting water uses that serve public interests</w:t>
      </w:r>
      <w:r w:rsidR="00D53FDB" w:rsidRPr="006D7F58">
        <w:t xml:space="preserve">, </w:t>
      </w:r>
      <w:r w:rsidRPr="006D7F58">
        <w:t>e.g., recreation and free time vs. water usage, as well as water resource protection, as well as the future water supply (both for drinking water and industrial water)</w:t>
      </w:r>
      <w:r w:rsidR="007628D4">
        <w:t>.</w:t>
      </w:r>
    </w:p>
    <w:p w14:paraId="61FC1893" w14:textId="2D87B5FC" w:rsidR="003D226B" w:rsidRPr="006D7F58" w:rsidRDefault="00736C10" w:rsidP="003C58C0">
      <w:pPr>
        <w:pStyle w:val="ListParagraph"/>
        <w:numPr>
          <w:ilvl w:val="0"/>
          <w:numId w:val="3"/>
        </w:numPr>
        <w:spacing w:line="360" w:lineRule="auto"/>
      </w:pPr>
      <w:r w:rsidRPr="006D7F58">
        <w:t>Elaboration and testing of common standards in waste and water management by public entities, in cooperation with universities, research centres, companies and cooperatives of farmers and residents</w:t>
      </w:r>
      <w:r w:rsidR="007628D4">
        <w:t>.</w:t>
      </w:r>
    </w:p>
    <w:p w14:paraId="28FDA137" w14:textId="17D0EC24" w:rsidR="00177D97" w:rsidRPr="006D7F58" w:rsidRDefault="005D24CC" w:rsidP="003C58C0">
      <w:pPr>
        <w:pStyle w:val="ListParagraph"/>
        <w:numPr>
          <w:ilvl w:val="0"/>
          <w:numId w:val="3"/>
        </w:numPr>
        <w:spacing w:line="360" w:lineRule="auto"/>
      </w:pPr>
      <w:r w:rsidRPr="006D7F58">
        <w:lastRenderedPageBreak/>
        <w:t>Capacity-</w:t>
      </w:r>
      <w:r w:rsidR="00736C10" w:rsidRPr="006D7F58">
        <w:t>building actions, transfer of knowledge and exchange of best practices in the fields of water management and wastewater collection and treatment.</w:t>
      </w:r>
    </w:p>
    <w:p w14:paraId="27F5524C" w14:textId="23FAE770" w:rsidR="00AF2B0C" w:rsidRDefault="00AF2B0C" w:rsidP="003C58C0">
      <w:pPr>
        <w:spacing w:line="360" w:lineRule="auto"/>
        <w:rPr>
          <w:lang w:val="en-GB"/>
        </w:rPr>
      </w:pPr>
      <w:r>
        <w:rPr>
          <w:noProof/>
        </w:rPr>
        <mc:AlternateContent>
          <mc:Choice Requires="wps">
            <w:drawing>
              <wp:inline distT="0" distB="0" distL="0" distR="0" wp14:anchorId="26DD0B58" wp14:editId="46A4FF13">
                <wp:extent cx="5772785" cy="1790700"/>
                <wp:effectExtent l="0" t="0" r="18415" b="19050"/>
                <wp:docPr id="176655954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1790700"/>
                        </a:xfrm>
                        <a:prstGeom prst="rect">
                          <a:avLst/>
                        </a:prstGeom>
                        <a:ln w="12700">
                          <a:solidFill>
                            <a:srgbClr val="003399"/>
                          </a:solidFill>
                          <a:prstDash val="solid"/>
                        </a:ln>
                      </wps:spPr>
                      <wps:txbx>
                        <w:txbxContent>
                          <w:p w14:paraId="0A618BF2" w14:textId="77777777" w:rsidR="00AF2B0C" w:rsidRPr="00AF2B0C" w:rsidRDefault="00AF2B0C" w:rsidP="00AF2B0C">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5B426F45" w14:textId="77777777" w:rsidR="00AF2B0C" w:rsidRPr="00AF2B0C" w:rsidRDefault="00AF2B0C" w:rsidP="00AF2B0C">
                            <w:pPr>
                              <w:pStyle w:val="BodyText"/>
                              <w:numPr>
                                <w:ilvl w:val="0"/>
                                <w:numId w:val="78"/>
                              </w:numPr>
                              <w:rPr>
                                <w:rFonts w:ascii="Open Sans" w:eastAsia="Open Sans" w:hAnsi="Open Sans" w:cs="Open Sans"/>
                                <w:color w:val="auto"/>
                                <w:sz w:val="24"/>
                                <w:szCs w:val="22"/>
                                <w:lang w:eastAsia="en-US"/>
                              </w:rPr>
                            </w:pPr>
                            <w:r w:rsidRPr="00AF2B0C">
                              <w:rPr>
                                <w:rFonts w:ascii="Open Sans" w:eastAsia="Open Sans" w:hAnsi="Open Sans" w:cs="Open Sans"/>
                                <w:color w:val="auto"/>
                                <w:sz w:val="24"/>
                                <w:szCs w:val="22"/>
                                <w:lang w:eastAsia="en-US"/>
                              </w:rPr>
                              <w:t>Projects can include pilot actions with infrastructural and equipment components.</w:t>
                            </w:r>
                          </w:p>
                          <w:p w14:paraId="1EB3984A" w14:textId="77777777" w:rsidR="00AF2B0C" w:rsidRPr="00AF2B0C" w:rsidRDefault="00AF2B0C" w:rsidP="00AF2B0C">
                            <w:pPr>
                              <w:pStyle w:val="BodyText"/>
                              <w:numPr>
                                <w:ilvl w:val="0"/>
                                <w:numId w:val="78"/>
                              </w:numPr>
                              <w:rPr>
                                <w:rFonts w:ascii="Open Sans" w:eastAsia="Open Sans" w:hAnsi="Open Sans" w:cs="Open Sans"/>
                                <w:color w:val="auto"/>
                                <w:sz w:val="24"/>
                                <w:szCs w:val="22"/>
                                <w:lang w:eastAsia="en-US"/>
                              </w:rPr>
                            </w:pPr>
                            <w:r w:rsidRPr="00AF2B0C">
                              <w:rPr>
                                <w:rFonts w:ascii="Open Sans" w:eastAsia="Open Sans" w:hAnsi="Open Sans" w:cs="Open Sans"/>
                                <w:color w:val="auto"/>
                                <w:sz w:val="24"/>
                                <w:szCs w:val="22"/>
                                <w:lang w:eastAsia="en-US"/>
                              </w:rPr>
                              <w:t>Both regular and small – scale projects may be implemented under this Measure.</w:t>
                            </w:r>
                          </w:p>
                          <w:p w14:paraId="6AE609C6" w14:textId="77777777" w:rsidR="00AF2B0C" w:rsidRPr="00AF2B0C" w:rsidRDefault="00AF2B0C" w:rsidP="00AF2B0C">
                            <w:pPr>
                              <w:pStyle w:val="BodyText"/>
                              <w:numPr>
                                <w:ilvl w:val="0"/>
                                <w:numId w:val="78"/>
                              </w:numPr>
                              <w:rPr>
                                <w:rFonts w:ascii="Open Sans" w:eastAsia="Open Sans" w:hAnsi="Open Sans" w:cs="Open Sans"/>
                                <w:color w:val="auto"/>
                                <w:sz w:val="24"/>
                                <w:szCs w:val="22"/>
                                <w:lang w:eastAsia="en-US"/>
                              </w:rPr>
                            </w:pPr>
                            <w:r w:rsidRPr="00AF2B0C">
                              <w:rPr>
                                <w:rFonts w:ascii="Open Sans" w:eastAsia="Open Sans" w:hAnsi="Open Sans" w:cs="Open Sans"/>
                                <w:color w:val="auto"/>
                                <w:sz w:val="24"/>
                                <w:szCs w:val="22"/>
                                <w:lang w:eastAsia="en-US"/>
                              </w:rPr>
                              <w:t>Implementation of large – scale infrastructure is not possible!</w:t>
                            </w:r>
                          </w:p>
                          <w:p w14:paraId="1611E84B" w14:textId="77777777" w:rsidR="00AF2B0C" w:rsidRPr="002E2B63" w:rsidRDefault="00AF2B0C" w:rsidP="00AF2B0C">
                            <w:pPr>
                              <w:pStyle w:val="BodyText"/>
                              <w:rPr>
                                <w:rFonts w:eastAsia="Open Sans"/>
                              </w:rPr>
                            </w:pPr>
                          </w:p>
                        </w:txbxContent>
                      </wps:txbx>
                      <wps:bodyPr wrap="square" lIns="0" tIns="0" rIns="0" bIns="0" rtlCol="0">
                        <a:noAutofit/>
                      </wps:bodyPr>
                    </wps:wsp>
                  </a:graphicData>
                </a:graphic>
              </wp:inline>
            </w:drawing>
          </mc:Choice>
          <mc:Fallback>
            <w:pict>
              <v:shape w14:anchorId="26DD0B58" id="_x0000_s1035" type="#_x0000_t202" style="width:454.55pt;height:1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" filled="f" strokecolor="#039" strokeweight="1pt">
                <v:path arrowok="t"/>
                <v:textbox inset="0,0,0,0">
                  <w:txbxContent>
                    <w:p w14:paraId="0A618BF2" w14:textId="77777777" w:rsidR="00AF2B0C" w:rsidRPr="00AF2B0C" w:rsidRDefault="00AF2B0C" w:rsidP="00AF2B0C">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5B426F45" w14:textId="77777777" w:rsidR="00AF2B0C" w:rsidRPr="00AF2B0C" w:rsidRDefault="00AF2B0C" w:rsidP="00AF2B0C">
                      <w:pPr>
                        <w:pStyle w:val="BodyText"/>
                        <w:numPr>
                          <w:ilvl w:val="0"/>
                          <w:numId w:val="78"/>
                        </w:numPr>
                        <w:rPr>
                          <w:rFonts w:ascii="Open Sans" w:eastAsia="Open Sans" w:hAnsi="Open Sans" w:cs="Open Sans"/>
                          <w:color w:val="auto"/>
                          <w:sz w:val="24"/>
                          <w:szCs w:val="22"/>
                          <w:lang w:eastAsia="en-US"/>
                        </w:rPr>
                      </w:pPr>
                      <w:r w:rsidRPr="00AF2B0C">
                        <w:rPr>
                          <w:rFonts w:ascii="Open Sans" w:eastAsia="Open Sans" w:hAnsi="Open Sans" w:cs="Open Sans"/>
                          <w:color w:val="auto"/>
                          <w:sz w:val="24"/>
                          <w:szCs w:val="22"/>
                          <w:lang w:eastAsia="en-US"/>
                        </w:rPr>
                        <w:t>Projects can include pilot actions with infrastructural and equipment components.</w:t>
                      </w:r>
                    </w:p>
                    <w:p w14:paraId="1EB3984A" w14:textId="77777777" w:rsidR="00AF2B0C" w:rsidRPr="00AF2B0C" w:rsidRDefault="00AF2B0C" w:rsidP="00AF2B0C">
                      <w:pPr>
                        <w:pStyle w:val="BodyText"/>
                        <w:numPr>
                          <w:ilvl w:val="0"/>
                          <w:numId w:val="78"/>
                        </w:numPr>
                        <w:rPr>
                          <w:rFonts w:ascii="Open Sans" w:eastAsia="Open Sans" w:hAnsi="Open Sans" w:cs="Open Sans"/>
                          <w:color w:val="auto"/>
                          <w:sz w:val="24"/>
                          <w:szCs w:val="22"/>
                          <w:lang w:eastAsia="en-US"/>
                        </w:rPr>
                      </w:pPr>
                      <w:r w:rsidRPr="00AF2B0C">
                        <w:rPr>
                          <w:rFonts w:ascii="Open Sans" w:eastAsia="Open Sans" w:hAnsi="Open Sans" w:cs="Open Sans"/>
                          <w:color w:val="auto"/>
                          <w:sz w:val="24"/>
                          <w:szCs w:val="22"/>
                          <w:lang w:eastAsia="en-US"/>
                        </w:rPr>
                        <w:t>Both regular and small – scale projects may be implemented under this Measure.</w:t>
                      </w:r>
                    </w:p>
                    <w:p w14:paraId="6AE609C6" w14:textId="77777777" w:rsidR="00AF2B0C" w:rsidRPr="00AF2B0C" w:rsidRDefault="00AF2B0C" w:rsidP="00AF2B0C">
                      <w:pPr>
                        <w:pStyle w:val="BodyText"/>
                        <w:numPr>
                          <w:ilvl w:val="0"/>
                          <w:numId w:val="78"/>
                        </w:numPr>
                        <w:rPr>
                          <w:rFonts w:ascii="Open Sans" w:eastAsia="Open Sans" w:hAnsi="Open Sans" w:cs="Open Sans"/>
                          <w:color w:val="auto"/>
                          <w:sz w:val="24"/>
                          <w:szCs w:val="22"/>
                          <w:lang w:eastAsia="en-US"/>
                        </w:rPr>
                      </w:pPr>
                      <w:r w:rsidRPr="00AF2B0C">
                        <w:rPr>
                          <w:rFonts w:ascii="Open Sans" w:eastAsia="Open Sans" w:hAnsi="Open Sans" w:cs="Open Sans"/>
                          <w:color w:val="auto"/>
                          <w:sz w:val="24"/>
                          <w:szCs w:val="22"/>
                          <w:lang w:eastAsia="en-US"/>
                        </w:rPr>
                        <w:t>Implementation of large – scale infrastructure is not possible!</w:t>
                      </w:r>
                    </w:p>
                    <w:p w14:paraId="1611E84B" w14:textId="77777777" w:rsidR="00AF2B0C" w:rsidRPr="002E2B63" w:rsidRDefault="00AF2B0C" w:rsidP="00AF2B0C">
                      <w:pPr>
                        <w:pStyle w:val="BodyText"/>
                        <w:rPr>
                          <w:rFonts w:eastAsia="Open Sans"/>
                        </w:rPr>
                      </w:pPr>
                    </w:p>
                  </w:txbxContent>
                </v:textbox>
                <w10:anchorlock/>
              </v:shape>
            </w:pict>
          </mc:Fallback>
        </mc:AlternateContent>
      </w:r>
    </w:p>
    <w:p w14:paraId="4A972889" w14:textId="3682E281" w:rsidR="00736C10" w:rsidRPr="00084668" w:rsidRDefault="00736C10" w:rsidP="003C58C0">
      <w:pPr>
        <w:spacing w:line="360" w:lineRule="auto"/>
        <w:rPr>
          <w:lang w:val="en-GB"/>
        </w:rPr>
      </w:pPr>
    </w:p>
    <w:tbl>
      <w:tblPr>
        <w:tblStyle w:val="TableNormal1"/>
        <w:tblpPr w:leftFromText="180" w:rightFromText="180" w:vertAnchor="text" w:horzAnchor="margin" w:tblpY="82"/>
        <w:tblW w:w="9075" w:type="dxa"/>
        <w:tblBorders>
          <w:top w:val="single" w:sz="12" w:space="0" w:color="003399"/>
          <w:left w:val="single" w:sz="12" w:space="0" w:color="003399"/>
          <w:bottom w:val="single" w:sz="12" w:space="0" w:color="003399"/>
          <w:right w:val="single" w:sz="12" w:space="0" w:color="003399"/>
          <w:insideH w:val="single" w:sz="12" w:space="0" w:color="003399"/>
          <w:insideV w:val="single" w:sz="12" w:space="0" w:color="003399"/>
        </w:tblBorders>
        <w:tblLayout w:type="fixed"/>
        <w:tblLook w:val="01E0" w:firstRow="1" w:lastRow="1" w:firstColumn="1" w:lastColumn="1" w:noHBand="0" w:noVBand="0"/>
        <w:tblCaption w:val="Indicators for Measure 2.2"/>
        <w:tblDescription w:val="Output indicators&#10;Obligatory output indicator&#10;• Jointly developed solutions&#10;Optional output indicator (Projects shall select and contribute to other Programme indicators according to the focus and activities of the project)&#10;• Pilot actions developed jointly and implemented in projects&#10;Result indicators&#10;Obligatory result indicators&#10;• Solutions taken up or up-scaled by organisations"/>
      </w:tblPr>
      <w:tblGrid>
        <w:gridCol w:w="1568"/>
        <w:gridCol w:w="3547"/>
        <w:gridCol w:w="3960"/>
      </w:tblGrid>
      <w:tr w:rsidR="006D7F58" w14:paraId="518CB5F5" w14:textId="77777777" w:rsidTr="003B722E">
        <w:trPr>
          <w:trHeight w:val="496"/>
        </w:trPr>
        <w:tc>
          <w:tcPr>
            <w:tcW w:w="1568" w:type="dxa"/>
          </w:tcPr>
          <w:p w14:paraId="30E0F57E" w14:textId="77777777" w:rsidR="006D7F58" w:rsidRDefault="006D7F58" w:rsidP="003C58C0">
            <w:pPr>
              <w:pStyle w:val="TableParagraph"/>
              <w:spacing w:line="360" w:lineRule="auto"/>
            </w:pPr>
          </w:p>
        </w:tc>
        <w:tc>
          <w:tcPr>
            <w:tcW w:w="3547" w:type="dxa"/>
          </w:tcPr>
          <w:p w14:paraId="4136A203" w14:textId="77777777" w:rsidR="006D7F58" w:rsidRDefault="006D7F58" w:rsidP="003C58C0">
            <w:pPr>
              <w:pStyle w:val="TableParagraph"/>
              <w:spacing w:line="360" w:lineRule="auto"/>
            </w:pPr>
            <w:r>
              <w:t>Output</w:t>
            </w:r>
            <w:r>
              <w:rPr>
                <w:spacing w:val="16"/>
              </w:rPr>
              <w:t xml:space="preserve"> </w:t>
            </w:r>
            <w:r>
              <w:t>indicators</w:t>
            </w:r>
          </w:p>
        </w:tc>
        <w:tc>
          <w:tcPr>
            <w:tcW w:w="3960" w:type="dxa"/>
          </w:tcPr>
          <w:p w14:paraId="67F2329E" w14:textId="77777777" w:rsidR="006D7F58" w:rsidRDefault="006D7F58" w:rsidP="003C58C0">
            <w:pPr>
              <w:pStyle w:val="TableParagraph"/>
              <w:spacing w:line="360" w:lineRule="auto"/>
            </w:pPr>
            <w:r>
              <w:t>Results</w:t>
            </w:r>
            <w:r>
              <w:rPr>
                <w:spacing w:val="21"/>
              </w:rPr>
              <w:t xml:space="preserve"> </w:t>
            </w:r>
            <w:r>
              <w:t>indicators</w:t>
            </w:r>
          </w:p>
        </w:tc>
      </w:tr>
      <w:tr w:rsidR="006D7F58" w:rsidRPr="00805C22" w14:paraId="6F358CBE" w14:textId="77777777" w:rsidTr="003B722E">
        <w:trPr>
          <w:trHeight w:val="796"/>
        </w:trPr>
        <w:tc>
          <w:tcPr>
            <w:tcW w:w="1568" w:type="dxa"/>
            <w:vAlign w:val="center"/>
          </w:tcPr>
          <w:p w14:paraId="1E2D5AB0" w14:textId="77777777" w:rsidR="006D7F58" w:rsidRDefault="006D7F58" w:rsidP="003C58C0">
            <w:pPr>
              <w:pStyle w:val="TableParagraph"/>
              <w:spacing w:line="360" w:lineRule="auto"/>
            </w:pPr>
            <w:r>
              <w:rPr>
                <w:w w:val="105"/>
              </w:rPr>
              <w:t>Obligatory</w:t>
            </w:r>
          </w:p>
        </w:tc>
        <w:tc>
          <w:tcPr>
            <w:tcW w:w="3547" w:type="dxa"/>
            <w:vAlign w:val="center"/>
          </w:tcPr>
          <w:p w14:paraId="4CFCCDE1" w14:textId="77777777" w:rsidR="006D7F58" w:rsidRPr="000B3470" w:rsidRDefault="006D7F58" w:rsidP="003C58C0">
            <w:pPr>
              <w:pStyle w:val="TableParagraph"/>
              <w:spacing w:line="360" w:lineRule="auto"/>
            </w:pPr>
            <w:r w:rsidRPr="000B3470">
              <w:rPr>
                <w:w w:val="105"/>
              </w:rPr>
              <w:t>Jointly developed solutions</w:t>
            </w:r>
          </w:p>
        </w:tc>
        <w:tc>
          <w:tcPr>
            <w:tcW w:w="3960" w:type="dxa"/>
            <w:vAlign w:val="center"/>
          </w:tcPr>
          <w:p w14:paraId="19731692" w14:textId="77777777" w:rsidR="006D7F58" w:rsidRPr="000B3470" w:rsidRDefault="006D7F58" w:rsidP="003C58C0">
            <w:pPr>
              <w:pStyle w:val="TableParagraph"/>
              <w:spacing w:line="360" w:lineRule="auto"/>
            </w:pPr>
            <w:r w:rsidRPr="000B3470">
              <w:rPr>
                <w:w w:val="105"/>
              </w:rPr>
              <w:t>Solutions taken up or up-scaled by organisations</w:t>
            </w:r>
          </w:p>
        </w:tc>
      </w:tr>
      <w:tr w:rsidR="006D7F58" w:rsidRPr="00805C22" w14:paraId="5B6C8AE3" w14:textId="77777777" w:rsidTr="003B722E">
        <w:trPr>
          <w:trHeight w:val="778"/>
        </w:trPr>
        <w:tc>
          <w:tcPr>
            <w:tcW w:w="1568" w:type="dxa"/>
            <w:vAlign w:val="center"/>
          </w:tcPr>
          <w:p w14:paraId="74654D95" w14:textId="2B402553" w:rsidR="006D7F58" w:rsidRDefault="006D7F58" w:rsidP="003C58C0">
            <w:pPr>
              <w:pStyle w:val="TableParagraph"/>
              <w:spacing w:line="360" w:lineRule="auto"/>
              <w:rPr>
                <w:sz w:val="12"/>
              </w:rPr>
            </w:pPr>
            <w:r>
              <w:rPr>
                <w:w w:val="105"/>
              </w:rPr>
              <w:t>Option</w:t>
            </w:r>
            <w:r w:rsidRPr="00312982">
              <w:rPr>
                <w:w w:val="105"/>
              </w:rPr>
              <w:t>al</w:t>
            </w:r>
            <w:r w:rsidR="00312982" w:rsidRPr="00312982">
              <w:rPr>
                <w:rStyle w:val="FootnoteReference"/>
                <w:rFonts w:ascii="Open Sans SemiBold"/>
                <w:b/>
                <w:color w:val="003399"/>
                <w:spacing w:val="-2"/>
                <w:w w:val="105"/>
                <w:sz w:val="20"/>
              </w:rPr>
              <w:footnoteReference w:id="13"/>
            </w:r>
          </w:p>
        </w:tc>
        <w:tc>
          <w:tcPr>
            <w:tcW w:w="3547" w:type="dxa"/>
            <w:vAlign w:val="center"/>
          </w:tcPr>
          <w:p w14:paraId="6D5E3102" w14:textId="77777777" w:rsidR="006D7F58" w:rsidRPr="000B3470" w:rsidRDefault="006D7F58" w:rsidP="003C58C0">
            <w:pPr>
              <w:pStyle w:val="TableParagraph"/>
              <w:spacing w:line="360" w:lineRule="auto"/>
            </w:pPr>
            <w:r w:rsidRPr="000B3470">
              <w:rPr>
                <w:w w:val="105"/>
              </w:rPr>
              <w:t>Pilot actions developed jointly and implemented in projects</w:t>
            </w:r>
          </w:p>
        </w:tc>
        <w:tc>
          <w:tcPr>
            <w:tcW w:w="3960" w:type="dxa"/>
            <w:vAlign w:val="center"/>
          </w:tcPr>
          <w:p w14:paraId="518AF883" w14:textId="77777777" w:rsidR="006D7F58" w:rsidRPr="000B3470" w:rsidRDefault="006D7F58" w:rsidP="003C58C0">
            <w:pPr>
              <w:pStyle w:val="TableParagraph"/>
              <w:spacing w:line="360" w:lineRule="auto"/>
            </w:pPr>
          </w:p>
        </w:tc>
      </w:tr>
    </w:tbl>
    <w:p w14:paraId="13C74886" w14:textId="77777777" w:rsidR="00B90E0B" w:rsidRDefault="00B90E0B" w:rsidP="003C58C0">
      <w:pPr>
        <w:spacing w:line="360" w:lineRule="auto"/>
      </w:pPr>
    </w:p>
    <w:p w14:paraId="6D5BBF56" w14:textId="45EF98D7" w:rsidR="000B3470" w:rsidRPr="00AF2B0C" w:rsidRDefault="000B3470" w:rsidP="003C58C0">
      <w:pPr>
        <w:spacing w:line="360" w:lineRule="auto"/>
        <w:rPr>
          <w:rFonts w:ascii="Open Sans SemiBold" w:eastAsia="Open Sans SemiBold" w:hAnsi="Open Sans SemiBold" w:cs="Open Sans SemiBold"/>
          <w:b/>
          <w:color w:val="003399"/>
          <w:szCs w:val="24"/>
        </w:rPr>
      </w:pPr>
      <w:r w:rsidRPr="00AF2B0C">
        <w:rPr>
          <w:rFonts w:ascii="Open Sans SemiBold" w:eastAsia="Open Sans SemiBold" w:hAnsi="Open Sans SemiBold" w:cs="Open Sans SemiBold"/>
          <w:b/>
          <w:color w:val="003399"/>
          <w:szCs w:val="24"/>
        </w:rPr>
        <w:t>Programme Measure 2.3: Supporting a circular and more resource efficient development</w:t>
      </w:r>
    </w:p>
    <w:p w14:paraId="32648F07" w14:textId="45C8F61B" w:rsidR="00736C10" w:rsidRPr="000B3470" w:rsidRDefault="00736C10" w:rsidP="003C58C0">
      <w:pPr>
        <w:spacing w:line="360" w:lineRule="auto"/>
      </w:pPr>
      <w:r w:rsidRPr="000B3470">
        <w:t xml:space="preserve">Sustainability and prosperity in the region require new solutions to generate significant changes to several areas such as mobility, employment, healthcare and social security systems, social structure, family policy and cultural patterns, production and consumption models, use of natural (non-renewable) resources, mature and emerging markets, and business sectors. Thus, there is visible </w:t>
      </w:r>
      <w:r w:rsidRPr="000B3470">
        <w:lastRenderedPageBreak/>
        <w:t xml:space="preserve">potential for cooperation aimed at </w:t>
      </w:r>
      <w:r w:rsidR="00E526A4" w:rsidRPr="000B3470">
        <w:t xml:space="preserve">the </w:t>
      </w:r>
      <w:r w:rsidRPr="000B3470">
        <w:t xml:space="preserve">promotion and implementation of circular </w:t>
      </w:r>
      <w:r w:rsidR="00E526A4" w:rsidRPr="000B3470">
        <w:t>economy-</w:t>
      </w:r>
      <w:r w:rsidRPr="000B3470">
        <w:t xml:space="preserve">related actions connected to reuse and recycling, circular product development and design, new </w:t>
      </w:r>
      <w:r w:rsidR="00E526A4" w:rsidRPr="000B3470">
        <w:t>resource-</w:t>
      </w:r>
      <w:r w:rsidRPr="000B3470">
        <w:t xml:space="preserve">efficient products and services, water efficiency methods for industry and </w:t>
      </w:r>
      <w:r w:rsidR="00E526A4" w:rsidRPr="000B3470">
        <w:t xml:space="preserve">the </w:t>
      </w:r>
      <w:r w:rsidRPr="000B3470">
        <w:t>public sector</w:t>
      </w:r>
      <w:r w:rsidR="00E526A4" w:rsidRPr="000B3470">
        <w:t>,</w:t>
      </w:r>
      <w:r w:rsidRPr="000B3470">
        <w:t xml:space="preserve"> etc.</w:t>
      </w:r>
    </w:p>
    <w:p w14:paraId="56CFBF4E" w14:textId="77777777" w:rsidR="00736C10" w:rsidRPr="000B3470" w:rsidRDefault="00736C10" w:rsidP="003C58C0">
      <w:pPr>
        <w:spacing w:line="360" w:lineRule="auto"/>
      </w:pPr>
      <w:r w:rsidRPr="000B3470">
        <w:t>The Measure supports:</w:t>
      </w:r>
    </w:p>
    <w:p w14:paraId="1556CA11" w14:textId="441D6281" w:rsidR="003D226B" w:rsidRPr="00F54E78" w:rsidRDefault="00275468" w:rsidP="003C58C0">
      <w:pPr>
        <w:pStyle w:val="ListParagraph"/>
        <w:numPr>
          <w:ilvl w:val="0"/>
          <w:numId w:val="44"/>
        </w:numPr>
        <w:spacing w:line="360" w:lineRule="auto"/>
      </w:pPr>
      <w:r w:rsidRPr="00F54E78">
        <w:t xml:space="preserve">Promotion of </w:t>
      </w:r>
      <w:r w:rsidR="00E526A4" w:rsidRPr="00F54E78">
        <w:t xml:space="preserve">the </w:t>
      </w:r>
      <w:r w:rsidRPr="00F54E78">
        <w:t>transition</w:t>
      </w:r>
      <w:r w:rsidR="00736C10" w:rsidRPr="00F54E78">
        <w:t xml:space="preserve"> to </w:t>
      </w:r>
      <w:r w:rsidR="00E526A4" w:rsidRPr="00F54E78">
        <w:t xml:space="preserve">the </w:t>
      </w:r>
      <w:r w:rsidR="00736C10" w:rsidRPr="00F54E78">
        <w:t xml:space="preserve">circular economy and </w:t>
      </w:r>
      <w:r w:rsidR="00E526A4" w:rsidRPr="00F54E78">
        <w:t xml:space="preserve">a </w:t>
      </w:r>
      <w:r w:rsidR="00736C10" w:rsidRPr="00F54E78">
        <w:t xml:space="preserve">focus on ways to establish </w:t>
      </w:r>
      <w:r w:rsidR="003356BC" w:rsidRPr="00F54E78">
        <w:t>behaviours</w:t>
      </w:r>
      <w:r w:rsidR="00736C10" w:rsidRPr="00F54E78">
        <w:t xml:space="preserve"> and attitudes in support of responsible consumption and production.</w:t>
      </w:r>
    </w:p>
    <w:p w14:paraId="24E9A2DF" w14:textId="766D22C7" w:rsidR="00736C10" w:rsidRPr="00F54E78" w:rsidRDefault="00736C10" w:rsidP="003C58C0">
      <w:pPr>
        <w:pStyle w:val="ListParagraph"/>
        <w:numPr>
          <w:ilvl w:val="0"/>
          <w:numId w:val="44"/>
        </w:numPr>
        <w:spacing w:line="360" w:lineRule="auto"/>
      </w:pPr>
      <w:r w:rsidRPr="00F54E78">
        <w:t>Development of the economy in a sustainable way, supporting projects for the transition to environmentally friendly production processes, resource efficiency and waste management.</w:t>
      </w:r>
    </w:p>
    <w:p w14:paraId="054BA32F" w14:textId="77777777" w:rsidR="00736C10" w:rsidRPr="000B3470" w:rsidRDefault="00736C10" w:rsidP="003C58C0">
      <w:pPr>
        <w:spacing w:line="360" w:lineRule="auto"/>
      </w:pPr>
      <w:r w:rsidRPr="000B3470">
        <w:t>The indicative list of cross-border activities includes:</w:t>
      </w:r>
    </w:p>
    <w:p w14:paraId="7FC33CEF" w14:textId="6ABA15D1" w:rsidR="00192C30" w:rsidRPr="000B3470" w:rsidRDefault="00736C10" w:rsidP="003C58C0">
      <w:pPr>
        <w:pStyle w:val="ListParagraph"/>
        <w:numPr>
          <w:ilvl w:val="0"/>
          <w:numId w:val="43"/>
        </w:numPr>
        <w:spacing w:line="360" w:lineRule="auto"/>
      </w:pPr>
      <w:r w:rsidRPr="000B3470">
        <w:t>Promotion of</w:t>
      </w:r>
      <w:r w:rsidR="00192C30" w:rsidRPr="000B3470">
        <w:t xml:space="preserve"> </w:t>
      </w:r>
      <w:r w:rsidRPr="000B3470">
        <w:t>areas of cooperation regarding waste management policies, e.g., joint strategy development, joint studies, action plans</w:t>
      </w:r>
      <w:r w:rsidR="00B85473" w:rsidRPr="000B3470">
        <w:t>,</w:t>
      </w:r>
      <w:r w:rsidRPr="000B3470">
        <w:t xml:space="preserve"> etc.</w:t>
      </w:r>
    </w:p>
    <w:p w14:paraId="015D0C53" w14:textId="6671B07A" w:rsidR="00736C10" w:rsidRPr="000B3470" w:rsidRDefault="00192C30" w:rsidP="003C58C0">
      <w:pPr>
        <w:pStyle w:val="ListParagraph"/>
        <w:numPr>
          <w:ilvl w:val="0"/>
          <w:numId w:val="43"/>
        </w:numPr>
        <w:spacing w:line="360" w:lineRule="auto"/>
      </w:pPr>
      <w:r w:rsidRPr="000B3470">
        <w:t xml:space="preserve">Implementation of </w:t>
      </w:r>
      <w:r w:rsidR="00EA18D4" w:rsidRPr="000B3470">
        <w:t xml:space="preserve">cross-border </w:t>
      </w:r>
      <w:r w:rsidR="00736C10" w:rsidRPr="000B3470">
        <w:t>awareness</w:t>
      </w:r>
      <w:r w:rsidR="00B85473" w:rsidRPr="000B3470">
        <w:t>-</w:t>
      </w:r>
      <w:r w:rsidR="00736C10" w:rsidRPr="000B3470">
        <w:t>raising campaigns aimed at local public companies (waste</w:t>
      </w:r>
      <w:r w:rsidR="00D07B80" w:rsidRPr="000B3470">
        <w:t>/</w:t>
      </w:r>
      <w:r w:rsidR="00736C10" w:rsidRPr="000B3470">
        <w:t>water</w:t>
      </w:r>
      <w:r w:rsidR="00D07B80" w:rsidRPr="000B3470">
        <w:t>/</w:t>
      </w:r>
      <w:r w:rsidR="00736C10" w:rsidRPr="000B3470">
        <w:t>heating</w:t>
      </w:r>
      <w:r w:rsidR="00D07B80" w:rsidRPr="000B3470">
        <w:t>/</w:t>
      </w:r>
      <w:r w:rsidR="00736C10" w:rsidRPr="000B3470">
        <w:t>facility</w:t>
      </w:r>
      <w:r w:rsidR="00D07B80" w:rsidRPr="000B3470">
        <w:t>/</w:t>
      </w:r>
      <w:r w:rsidR="00736C10" w:rsidRPr="000B3470">
        <w:t xml:space="preserve">transport management) and SMEs to facilitate a transition from traditional management to </w:t>
      </w:r>
      <w:r w:rsidR="00B85473" w:rsidRPr="000B3470">
        <w:t>circular-</w:t>
      </w:r>
      <w:r w:rsidR="00736C10" w:rsidRPr="000B3470">
        <w:t>oriented</w:t>
      </w:r>
      <w:r w:rsidR="007628D4">
        <w:t>.</w:t>
      </w:r>
    </w:p>
    <w:p w14:paraId="457DE8A8" w14:textId="54583630" w:rsidR="003D226B" w:rsidRPr="000B3470" w:rsidRDefault="00736C10" w:rsidP="003C58C0">
      <w:pPr>
        <w:pStyle w:val="ListParagraph"/>
        <w:numPr>
          <w:ilvl w:val="0"/>
          <w:numId w:val="43"/>
        </w:numPr>
        <w:spacing w:line="360" w:lineRule="auto"/>
      </w:pPr>
      <w:r w:rsidRPr="000B3470">
        <w:t xml:space="preserve">Development, </w:t>
      </w:r>
      <w:r w:rsidR="00D53FDB" w:rsidRPr="000B3470">
        <w:t>demonstration,</w:t>
      </w:r>
      <w:r w:rsidRPr="000B3470">
        <w:t xml:space="preserve"> and implementation of:</w:t>
      </w:r>
    </w:p>
    <w:p w14:paraId="6CCBF699" w14:textId="328C31C8" w:rsidR="003D226B" w:rsidRPr="000B3470" w:rsidRDefault="00736C10" w:rsidP="003C58C0">
      <w:pPr>
        <w:pStyle w:val="ListParagraph"/>
        <w:numPr>
          <w:ilvl w:val="0"/>
          <w:numId w:val="39"/>
        </w:numPr>
        <w:spacing w:line="360" w:lineRule="auto"/>
      </w:pPr>
      <w:r w:rsidRPr="000B3470">
        <w:t>new joint business models (e.g., service instead of selling a product), product design (prevent waste, use non-toxic materials to prepare for reuse and recycling), production and distribution technologies</w:t>
      </w:r>
      <w:r w:rsidR="00D07B80" w:rsidRPr="000B3470">
        <w:t>/</w:t>
      </w:r>
      <w:r w:rsidRPr="000B3470">
        <w:t>solutions</w:t>
      </w:r>
      <w:r w:rsidR="00D07B80" w:rsidRPr="000B3470">
        <w:t>/</w:t>
      </w:r>
      <w:r w:rsidRPr="000B3470">
        <w:t>processes in waste</w:t>
      </w:r>
      <w:r w:rsidR="00D07B80" w:rsidRPr="000B3470">
        <w:t>/</w:t>
      </w:r>
      <w:r w:rsidRPr="000B3470">
        <w:t>water management and resource efficiency (e.g., re-use, recycling, recovery), including optimi</w:t>
      </w:r>
      <w:r w:rsidR="004C3F0F" w:rsidRPr="000B3470">
        <w:t>s</w:t>
      </w:r>
      <w:r w:rsidRPr="000B3470">
        <w:t>ed energy utilisation (e.g.</w:t>
      </w:r>
      <w:r w:rsidR="00275468" w:rsidRPr="000B3470">
        <w:t>,</w:t>
      </w:r>
      <w:r w:rsidRPr="000B3470">
        <w:t xml:space="preserve"> biogas) and industrial symbiosis</w:t>
      </w:r>
    </w:p>
    <w:p w14:paraId="0860CB5F" w14:textId="10E0A1EE" w:rsidR="00736C10" w:rsidRPr="000B3470" w:rsidRDefault="00736C10" w:rsidP="003C58C0">
      <w:pPr>
        <w:pStyle w:val="ListParagraph"/>
        <w:numPr>
          <w:ilvl w:val="0"/>
          <w:numId w:val="39"/>
        </w:numPr>
        <w:spacing w:line="360" w:lineRule="auto"/>
      </w:pPr>
      <w:r w:rsidRPr="000B3470">
        <w:lastRenderedPageBreak/>
        <w:t>solutions</w:t>
      </w:r>
      <w:r w:rsidR="00D07B80" w:rsidRPr="000B3470">
        <w:t>/</w:t>
      </w:r>
      <w:r w:rsidRPr="000B3470">
        <w:t>investments that minimi</w:t>
      </w:r>
      <w:r w:rsidR="004C3F0F" w:rsidRPr="000B3470">
        <w:t>s</w:t>
      </w:r>
      <w:r w:rsidRPr="000B3470">
        <w:t>e the use of new raw</w:t>
      </w:r>
      <w:r w:rsidR="00B85473" w:rsidRPr="000B3470">
        <w:t xml:space="preserve"> </w:t>
      </w:r>
      <w:r w:rsidRPr="000B3470">
        <w:t>materials, including promoting the use of recycled materials, in production processes</w:t>
      </w:r>
      <w:r w:rsidR="007628D4">
        <w:t>.</w:t>
      </w:r>
    </w:p>
    <w:p w14:paraId="37D92387" w14:textId="5EC0A6E3" w:rsidR="003D226B" w:rsidRPr="000B3470" w:rsidRDefault="00B85473" w:rsidP="003C58C0">
      <w:pPr>
        <w:pStyle w:val="ListParagraph"/>
        <w:numPr>
          <w:ilvl w:val="0"/>
          <w:numId w:val="43"/>
        </w:numPr>
        <w:spacing w:line="360" w:lineRule="auto"/>
      </w:pPr>
      <w:r w:rsidRPr="000B3470">
        <w:t xml:space="preserve">Forming cooperation </w:t>
      </w:r>
      <w:r w:rsidR="00736C10" w:rsidRPr="000B3470">
        <w:t xml:space="preserve">networks aimed at </w:t>
      </w:r>
      <w:r w:rsidRPr="000B3470">
        <w:t xml:space="preserve">the </w:t>
      </w:r>
      <w:r w:rsidR="00736C10" w:rsidRPr="000B3470">
        <w:t xml:space="preserve">re-use of waste as </w:t>
      </w:r>
      <w:r w:rsidRPr="000B3470">
        <w:t xml:space="preserve">a </w:t>
      </w:r>
      <w:r w:rsidR="00736C10" w:rsidRPr="000B3470">
        <w:t>resource</w:t>
      </w:r>
      <w:r w:rsidR="007628D4">
        <w:t>.</w:t>
      </w:r>
    </w:p>
    <w:p w14:paraId="7C3B6CE1" w14:textId="3E164A7C" w:rsidR="003D226B" w:rsidRPr="000B3470" w:rsidRDefault="00736C10" w:rsidP="003C58C0">
      <w:pPr>
        <w:pStyle w:val="ListParagraph"/>
        <w:numPr>
          <w:ilvl w:val="0"/>
          <w:numId w:val="43"/>
        </w:numPr>
        <w:spacing w:line="360" w:lineRule="auto"/>
      </w:pPr>
      <w:r w:rsidRPr="000B3470">
        <w:t>Joint actions</w:t>
      </w:r>
      <w:r w:rsidR="00D07B80" w:rsidRPr="000B3470">
        <w:t>/</w:t>
      </w:r>
      <w:r w:rsidRPr="000B3470">
        <w:t>pilot projects aimed at:</w:t>
      </w:r>
    </w:p>
    <w:p w14:paraId="0B5C0058" w14:textId="5880A584" w:rsidR="003D226B" w:rsidRPr="000B3470" w:rsidRDefault="00736C10" w:rsidP="003C58C0">
      <w:pPr>
        <w:pStyle w:val="ListParagraph"/>
        <w:numPr>
          <w:ilvl w:val="0"/>
          <w:numId w:val="4"/>
        </w:numPr>
        <w:spacing w:line="360" w:lineRule="auto"/>
      </w:pPr>
      <w:r w:rsidRPr="000B3470">
        <w:t>optimi</w:t>
      </w:r>
      <w:r w:rsidR="004C3F0F" w:rsidRPr="000B3470">
        <w:t>s</w:t>
      </w:r>
      <w:r w:rsidRPr="000B3470">
        <w:t>ation of value chains for recycled materials</w:t>
      </w:r>
    </w:p>
    <w:p w14:paraId="6C92297B" w14:textId="5A5A9470" w:rsidR="00571DA6" w:rsidRPr="000B3470" w:rsidRDefault="00571DA6" w:rsidP="003C58C0">
      <w:pPr>
        <w:pStyle w:val="ListParagraph"/>
        <w:numPr>
          <w:ilvl w:val="0"/>
          <w:numId w:val="4"/>
        </w:numPr>
        <w:spacing w:line="360" w:lineRule="auto"/>
      </w:pPr>
      <w:r w:rsidRPr="000B3470">
        <w:t>testing innovative solutions regarding re-use of waste, including from</w:t>
      </w:r>
      <w:r w:rsidR="00B85473" w:rsidRPr="000B3470">
        <w:t xml:space="preserve"> the</w:t>
      </w:r>
      <w:r w:rsidRPr="000B3470">
        <w:t xml:space="preserve"> fishing, forestry and agriculture sectors</w:t>
      </w:r>
    </w:p>
    <w:p w14:paraId="22E6E0A6" w14:textId="1BD3C6DC" w:rsidR="003D226B" w:rsidRPr="000B3470" w:rsidRDefault="00736C10" w:rsidP="003C58C0">
      <w:pPr>
        <w:pStyle w:val="ListParagraph"/>
        <w:numPr>
          <w:ilvl w:val="0"/>
          <w:numId w:val="4"/>
        </w:numPr>
        <w:spacing w:line="360" w:lineRule="auto"/>
      </w:pPr>
      <w:r w:rsidRPr="000B3470">
        <w:t>inhabitants on building awareness about the necessity to introduce the processes of waste management in households</w:t>
      </w:r>
      <w:r w:rsidR="008B5F28">
        <w:t>.</w:t>
      </w:r>
    </w:p>
    <w:p w14:paraId="1640CE94" w14:textId="312FD178" w:rsidR="003D226B" w:rsidRPr="000B3470" w:rsidRDefault="00736C10" w:rsidP="003C58C0">
      <w:pPr>
        <w:pStyle w:val="ListParagraph"/>
        <w:numPr>
          <w:ilvl w:val="0"/>
          <w:numId w:val="43"/>
        </w:numPr>
        <w:spacing w:line="360" w:lineRule="auto"/>
      </w:pPr>
      <w:r w:rsidRPr="000B3470">
        <w:t>Elaboration and testing of common standards in waste management by public entities, in cooperation with universities, research centres, companies and cooperatives of farmers and residents and NGOs</w:t>
      </w:r>
      <w:r w:rsidR="008B5F28">
        <w:t>.</w:t>
      </w:r>
    </w:p>
    <w:p w14:paraId="484EE9A4" w14:textId="37E72887" w:rsidR="00177D97" w:rsidRPr="000B3470" w:rsidRDefault="003A3BA1" w:rsidP="003C58C0">
      <w:pPr>
        <w:pStyle w:val="ListParagraph"/>
        <w:numPr>
          <w:ilvl w:val="0"/>
          <w:numId w:val="43"/>
        </w:numPr>
        <w:spacing w:line="360" w:lineRule="auto"/>
      </w:pPr>
      <w:r w:rsidRPr="000B3470">
        <w:t>Capacity-</w:t>
      </w:r>
      <w:r w:rsidR="00736C10" w:rsidRPr="000B3470">
        <w:t>building actions, transfer of knowledge and exchange of best practices on waste management solutions, sharing best practices and blueprints on data sharing on current waste management practices and waste flows.</w:t>
      </w:r>
    </w:p>
    <w:p w14:paraId="57B969D5" w14:textId="7E47A961" w:rsidR="00985206" w:rsidRPr="00084668" w:rsidRDefault="00AF2B0C" w:rsidP="003C58C0">
      <w:pPr>
        <w:spacing w:line="360" w:lineRule="auto"/>
        <w:rPr>
          <w:lang w:val="en-GB"/>
        </w:rPr>
      </w:pPr>
      <w:r>
        <w:rPr>
          <w:noProof/>
        </w:rPr>
        <mc:AlternateContent>
          <mc:Choice Requires="wps">
            <w:drawing>
              <wp:inline distT="0" distB="0" distL="0" distR="0" wp14:anchorId="1E39DA10" wp14:editId="6B0E28F0">
                <wp:extent cx="5772785" cy="2009775"/>
                <wp:effectExtent l="0" t="0" r="18415" b="28575"/>
                <wp:docPr id="31642310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2009775"/>
                        </a:xfrm>
                        <a:prstGeom prst="rect">
                          <a:avLst/>
                        </a:prstGeom>
                        <a:ln w="12700">
                          <a:solidFill>
                            <a:srgbClr val="003399"/>
                          </a:solidFill>
                          <a:prstDash val="solid"/>
                        </a:ln>
                      </wps:spPr>
                      <wps:txbx>
                        <w:txbxContent>
                          <w:p w14:paraId="55849721" w14:textId="77777777" w:rsidR="00AF2B0C" w:rsidRPr="00AF2B0C" w:rsidRDefault="00AF2B0C" w:rsidP="00AF2B0C">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5AA6AA33" w14:textId="77777777" w:rsidR="00AF2B0C" w:rsidRPr="00AF2B0C" w:rsidRDefault="00AF2B0C" w:rsidP="00AF2B0C">
                            <w:pPr>
                              <w:pStyle w:val="BodyText"/>
                              <w:numPr>
                                <w:ilvl w:val="0"/>
                                <w:numId w:val="79"/>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46DC3EDE" w14:textId="77777777" w:rsidR="00AF2B0C" w:rsidRPr="00AF2B0C" w:rsidRDefault="00AF2B0C" w:rsidP="00AF2B0C">
                            <w:pPr>
                              <w:pStyle w:val="BodyText"/>
                              <w:numPr>
                                <w:ilvl w:val="0"/>
                                <w:numId w:val="79"/>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0A64AA69" w14:textId="77777777" w:rsidR="00AF2B0C" w:rsidRPr="00AF2B0C" w:rsidRDefault="00AF2B0C" w:rsidP="00AF2B0C">
                            <w:pPr>
                              <w:pStyle w:val="BodyText"/>
                              <w:numPr>
                                <w:ilvl w:val="0"/>
                                <w:numId w:val="79"/>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52EA36DD" w14:textId="77777777" w:rsidR="00AF2B0C" w:rsidRPr="002E2B63" w:rsidRDefault="00AF2B0C" w:rsidP="00AF2B0C">
                            <w:pPr>
                              <w:pStyle w:val="BodyText"/>
                              <w:rPr>
                                <w:rFonts w:eastAsia="Open Sans"/>
                              </w:rPr>
                            </w:pPr>
                          </w:p>
                        </w:txbxContent>
                      </wps:txbx>
                      <wps:bodyPr wrap="square" lIns="0" tIns="0" rIns="0" bIns="0" rtlCol="0">
                        <a:noAutofit/>
                      </wps:bodyPr>
                    </wps:wsp>
                  </a:graphicData>
                </a:graphic>
              </wp:inline>
            </w:drawing>
          </mc:Choice>
          <mc:Fallback>
            <w:pict>
              <v:shape w14:anchorId="1E39DA10" id="_x0000_s1036" type="#_x0000_t202" style="width:454.55pt;height:15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" filled="f" strokecolor="#039" strokeweight="1pt">
                <v:path arrowok="t"/>
                <v:textbox inset="0,0,0,0">
                  <w:txbxContent>
                    <w:p w14:paraId="55849721" w14:textId="77777777" w:rsidR="00AF2B0C" w:rsidRPr="00AF2B0C" w:rsidRDefault="00AF2B0C" w:rsidP="00AF2B0C">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5AA6AA33" w14:textId="77777777" w:rsidR="00AF2B0C" w:rsidRPr="00AF2B0C" w:rsidRDefault="00AF2B0C" w:rsidP="00AF2B0C">
                      <w:pPr>
                        <w:pStyle w:val="BodyText"/>
                        <w:numPr>
                          <w:ilvl w:val="0"/>
                          <w:numId w:val="79"/>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46DC3EDE" w14:textId="77777777" w:rsidR="00AF2B0C" w:rsidRPr="00AF2B0C" w:rsidRDefault="00AF2B0C" w:rsidP="00AF2B0C">
                      <w:pPr>
                        <w:pStyle w:val="BodyText"/>
                        <w:numPr>
                          <w:ilvl w:val="0"/>
                          <w:numId w:val="79"/>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0A64AA69" w14:textId="77777777" w:rsidR="00AF2B0C" w:rsidRPr="00AF2B0C" w:rsidRDefault="00AF2B0C" w:rsidP="00AF2B0C">
                      <w:pPr>
                        <w:pStyle w:val="BodyText"/>
                        <w:numPr>
                          <w:ilvl w:val="0"/>
                          <w:numId w:val="79"/>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52EA36DD" w14:textId="77777777" w:rsidR="00AF2B0C" w:rsidRPr="002E2B63" w:rsidRDefault="00AF2B0C" w:rsidP="00AF2B0C">
                      <w:pPr>
                        <w:pStyle w:val="BodyText"/>
                        <w:rPr>
                          <w:rFonts w:eastAsia="Open Sans"/>
                        </w:rPr>
                      </w:pPr>
                    </w:p>
                  </w:txbxContent>
                </v:textbox>
                <w10:anchorlock/>
              </v:shape>
            </w:pict>
          </mc:Fallback>
        </mc:AlternateContent>
      </w:r>
    </w:p>
    <w:tbl>
      <w:tblPr>
        <w:tblStyle w:val="TableNormal1"/>
        <w:tblpPr w:leftFromText="180" w:rightFromText="180" w:vertAnchor="text" w:horzAnchor="margin" w:tblpY="168"/>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Indicators for Measure 2.3"/>
        <w:tblDescription w:val="Output indicators&#10;Obligatory output indicator&#10;• Jointly developed solutions&#10;Optional output indicator (Projects shall select and contribute to other Programme indicators according to the focus and activities of the project)&#10;• Pilot actions developed jointly and implemented in projects&#10;• Enterprises with non-financial support • Enterprises supported (as umbrella indicator for Enterprises with non financial support)&#10;Result indicators&#10;Obligatory result indicators&#10;• Solutions taken up or up-scaled by organisations"/>
      </w:tblPr>
      <w:tblGrid>
        <w:gridCol w:w="1569"/>
        <w:gridCol w:w="3546"/>
        <w:gridCol w:w="3960"/>
      </w:tblGrid>
      <w:tr w:rsidR="000B3470" w14:paraId="1555F16C" w14:textId="77777777" w:rsidTr="00B62D9C">
        <w:trPr>
          <w:trHeight w:val="473"/>
          <w:tblHeader/>
        </w:trPr>
        <w:tc>
          <w:tcPr>
            <w:tcW w:w="1569" w:type="dxa"/>
            <w:tcBorders>
              <w:left w:val="single" w:sz="12" w:space="0" w:color="003399"/>
              <w:bottom w:val="single" w:sz="12" w:space="0" w:color="003399"/>
              <w:right w:val="single" w:sz="12" w:space="0" w:color="003399"/>
            </w:tcBorders>
          </w:tcPr>
          <w:p w14:paraId="42144E6E" w14:textId="77777777" w:rsidR="000B3470" w:rsidRDefault="000B3470" w:rsidP="003C58C0">
            <w:pPr>
              <w:pStyle w:val="TableParagraph"/>
              <w:spacing w:line="360" w:lineRule="auto"/>
            </w:pPr>
          </w:p>
        </w:tc>
        <w:tc>
          <w:tcPr>
            <w:tcW w:w="3546" w:type="dxa"/>
            <w:tcBorders>
              <w:left w:val="single" w:sz="12" w:space="0" w:color="003399"/>
              <w:bottom w:val="single" w:sz="12" w:space="0" w:color="003399"/>
              <w:right w:val="single" w:sz="12" w:space="0" w:color="003399"/>
            </w:tcBorders>
          </w:tcPr>
          <w:p w14:paraId="2011A3DC" w14:textId="77777777" w:rsidR="000B3470" w:rsidRDefault="000B3470" w:rsidP="003C58C0">
            <w:pPr>
              <w:pStyle w:val="TableParagraph"/>
              <w:spacing w:line="360" w:lineRule="auto"/>
            </w:pPr>
            <w:r>
              <w:t>Output</w:t>
            </w:r>
            <w:r>
              <w:rPr>
                <w:spacing w:val="16"/>
              </w:rPr>
              <w:t xml:space="preserve"> </w:t>
            </w:r>
            <w:r>
              <w:t>indicators</w:t>
            </w:r>
          </w:p>
        </w:tc>
        <w:tc>
          <w:tcPr>
            <w:tcW w:w="3960" w:type="dxa"/>
            <w:tcBorders>
              <w:left w:val="single" w:sz="12" w:space="0" w:color="003399"/>
              <w:bottom w:val="single" w:sz="12" w:space="0" w:color="003399"/>
              <w:right w:val="single" w:sz="12" w:space="0" w:color="003399"/>
            </w:tcBorders>
          </w:tcPr>
          <w:p w14:paraId="5FC7F6DA" w14:textId="77777777" w:rsidR="000B3470" w:rsidRDefault="000B3470" w:rsidP="003C58C0">
            <w:pPr>
              <w:pStyle w:val="TableParagraph"/>
              <w:spacing w:line="360" w:lineRule="auto"/>
            </w:pPr>
            <w:r>
              <w:t>Results</w:t>
            </w:r>
            <w:r>
              <w:rPr>
                <w:spacing w:val="21"/>
              </w:rPr>
              <w:t xml:space="preserve"> </w:t>
            </w:r>
            <w:r>
              <w:t>indicators</w:t>
            </w:r>
          </w:p>
        </w:tc>
      </w:tr>
      <w:tr w:rsidR="000B3470" w:rsidRPr="00805C22" w14:paraId="500CCEE4" w14:textId="77777777" w:rsidTr="00985206">
        <w:trPr>
          <w:trHeight w:val="741"/>
        </w:trPr>
        <w:tc>
          <w:tcPr>
            <w:tcW w:w="1569" w:type="dxa"/>
            <w:tcBorders>
              <w:top w:val="single" w:sz="12" w:space="0" w:color="003399"/>
              <w:left w:val="single" w:sz="12" w:space="0" w:color="003399"/>
              <w:bottom w:val="single" w:sz="12" w:space="0" w:color="003399"/>
              <w:right w:val="single" w:sz="12" w:space="0" w:color="003399"/>
            </w:tcBorders>
            <w:vAlign w:val="center"/>
          </w:tcPr>
          <w:p w14:paraId="1D1B891D" w14:textId="77777777" w:rsidR="000B3470" w:rsidRDefault="000B3470" w:rsidP="003C58C0">
            <w:pPr>
              <w:pStyle w:val="TableParagraph"/>
              <w:spacing w:line="360" w:lineRule="auto"/>
            </w:pPr>
            <w:r>
              <w:rPr>
                <w:w w:val="105"/>
              </w:rPr>
              <w:t>Obligatory</w:t>
            </w:r>
          </w:p>
        </w:tc>
        <w:tc>
          <w:tcPr>
            <w:tcW w:w="3546" w:type="dxa"/>
            <w:tcBorders>
              <w:top w:val="single" w:sz="12" w:space="0" w:color="003399"/>
              <w:left w:val="single" w:sz="12" w:space="0" w:color="003399"/>
              <w:bottom w:val="single" w:sz="12" w:space="0" w:color="003399"/>
              <w:right w:val="single" w:sz="12" w:space="0" w:color="003399"/>
            </w:tcBorders>
            <w:vAlign w:val="center"/>
          </w:tcPr>
          <w:p w14:paraId="4467DEF3" w14:textId="77777777" w:rsidR="000B3470" w:rsidRPr="000B3470" w:rsidRDefault="000B3470" w:rsidP="003C58C0">
            <w:pPr>
              <w:pStyle w:val="TableParagraph"/>
              <w:spacing w:line="360" w:lineRule="auto"/>
              <w:rPr>
                <w:w w:val="105"/>
              </w:rPr>
            </w:pPr>
            <w:r w:rsidRPr="000B3470">
              <w:rPr>
                <w:w w:val="105"/>
              </w:rPr>
              <w:t>Jointly developed solutions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5FE0D9B5" w14:textId="77777777" w:rsidR="000B3470" w:rsidRDefault="000B3470" w:rsidP="003C58C0">
            <w:pPr>
              <w:pStyle w:val="TableParagraph"/>
              <w:spacing w:line="360" w:lineRule="auto"/>
            </w:pPr>
            <w:r>
              <w:rPr>
                <w:w w:val="105"/>
              </w:rPr>
              <w:t>Solutions</w:t>
            </w:r>
            <w:r w:rsidRPr="000B3470">
              <w:rPr>
                <w:w w:val="105"/>
              </w:rPr>
              <w:t xml:space="preserve"> </w:t>
            </w:r>
            <w:r>
              <w:rPr>
                <w:w w:val="105"/>
              </w:rPr>
              <w:t>taken</w:t>
            </w:r>
            <w:r w:rsidRPr="000B3470">
              <w:rPr>
                <w:w w:val="105"/>
              </w:rPr>
              <w:t xml:space="preserve"> </w:t>
            </w:r>
            <w:r>
              <w:rPr>
                <w:w w:val="105"/>
              </w:rPr>
              <w:t>up</w:t>
            </w:r>
            <w:r w:rsidRPr="000B3470">
              <w:rPr>
                <w:w w:val="105"/>
              </w:rPr>
              <w:t xml:space="preserve"> </w:t>
            </w:r>
            <w:r>
              <w:rPr>
                <w:w w:val="105"/>
              </w:rPr>
              <w:t>or</w:t>
            </w:r>
            <w:r w:rsidRPr="000B3470">
              <w:rPr>
                <w:w w:val="105"/>
              </w:rPr>
              <w:t xml:space="preserve"> </w:t>
            </w:r>
            <w:r>
              <w:rPr>
                <w:w w:val="105"/>
              </w:rPr>
              <w:t>up-scaled</w:t>
            </w:r>
            <w:r w:rsidRPr="000B3470">
              <w:rPr>
                <w:w w:val="105"/>
              </w:rPr>
              <w:t xml:space="preserve"> </w:t>
            </w:r>
            <w:r>
              <w:rPr>
                <w:w w:val="105"/>
              </w:rPr>
              <w:lastRenderedPageBreak/>
              <w:t>by organisations</w:t>
            </w:r>
          </w:p>
        </w:tc>
      </w:tr>
      <w:tr w:rsidR="000B3470" w:rsidRPr="00805C22" w14:paraId="05D7E35A" w14:textId="77777777" w:rsidTr="006F2335">
        <w:trPr>
          <w:trHeight w:val="687"/>
        </w:trPr>
        <w:tc>
          <w:tcPr>
            <w:tcW w:w="1569" w:type="dxa"/>
            <w:vMerge w:val="restart"/>
            <w:tcBorders>
              <w:top w:val="single" w:sz="12" w:space="0" w:color="003399"/>
              <w:left w:val="single" w:sz="12" w:space="0" w:color="003399"/>
              <w:bottom w:val="single" w:sz="12" w:space="0" w:color="003399"/>
              <w:right w:val="single" w:sz="12" w:space="0" w:color="003399"/>
            </w:tcBorders>
            <w:vAlign w:val="center"/>
          </w:tcPr>
          <w:p w14:paraId="1669EE60" w14:textId="2625D0AD" w:rsidR="000B3470" w:rsidRDefault="000B3470" w:rsidP="003C58C0">
            <w:pPr>
              <w:pStyle w:val="TableParagraph"/>
              <w:spacing w:line="360" w:lineRule="auto"/>
              <w:rPr>
                <w:sz w:val="12"/>
              </w:rPr>
            </w:pPr>
            <w:r>
              <w:rPr>
                <w:w w:val="105"/>
              </w:rPr>
              <w:lastRenderedPageBreak/>
              <w:t>Optional</w:t>
            </w:r>
            <w:r w:rsidR="00312982">
              <w:rPr>
                <w:rStyle w:val="FootnoteReference"/>
                <w:rFonts w:ascii="Open Sans SemiBold"/>
                <w:b/>
                <w:color w:val="003399"/>
                <w:spacing w:val="-2"/>
                <w:w w:val="105"/>
                <w:sz w:val="20"/>
              </w:rPr>
              <w:footnoteReference w:id="14"/>
            </w:r>
          </w:p>
        </w:tc>
        <w:tc>
          <w:tcPr>
            <w:tcW w:w="3546" w:type="dxa"/>
            <w:tcBorders>
              <w:top w:val="single" w:sz="12" w:space="0" w:color="003399"/>
              <w:left w:val="single" w:sz="12" w:space="0" w:color="003399"/>
              <w:bottom w:val="single" w:sz="12" w:space="0" w:color="003399"/>
              <w:right w:val="single" w:sz="12" w:space="0" w:color="003399"/>
            </w:tcBorders>
            <w:vAlign w:val="center"/>
          </w:tcPr>
          <w:p w14:paraId="5C4D4561" w14:textId="17513053" w:rsidR="000B3470" w:rsidRPr="000B3470" w:rsidRDefault="000B3470" w:rsidP="003C58C0">
            <w:pPr>
              <w:pStyle w:val="TableParagraph"/>
              <w:spacing w:line="360" w:lineRule="auto"/>
              <w:rPr>
                <w:w w:val="105"/>
              </w:rPr>
            </w:pPr>
            <w:r w:rsidRPr="000B3470">
              <w:rPr>
                <w:w w:val="105"/>
              </w:rPr>
              <w:t>Enterprises with non-ﬁnancial</w:t>
            </w:r>
            <w:r w:rsidR="00985206">
              <w:rPr>
                <w:w w:val="105"/>
              </w:rPr>
              <w:t xml:space="preserve"> </w:t>
            </w:r>
            <w:r>
              <w:rPr>
                <w:w w:val="105"/>
              </w:rPr>
              <w:t>support</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1B6B7E45" w14:textId="77777777" w:rsidR="000B3470" w:rsidRDefault="000B3470" w:rsidP="003C58C0">
            <w:pPr>
              <w:pStyle w:val="TableParagraph"/>
              <w:spacing w:line="360" w:lineRule="auto"/>
            </w:pPr>
          </w:p>
        </w:tc>
      </w:tr>
      <w:tr w:rsidR="000B3470" w:rsidRPr="00805C22" w14:paraId="1900A6CD" w14:textId="77777777" w:rsidTr="006F2335">
        <w:trPr>
          <w:trHeight w:val="957"/>
        </w:trPr>
        <w:tc>
          <w:tcPr>
            <w:tcW w:w="1569" w:type="dxa"/>
            <w:vMerge/>
            <w:tcBorders>
              <w:top w:val="nil"/>
              <w:left w:val="single" w:sz="12" w:space="0" w:color="003399"/>
              <w:bottom w:val="single" w:sz="12" w:space="0" w:color="003399"/>
              <w:right w:val="single" w:sz="12" w:space="0" w:color="003399"/>
            </w:tcBorders>
            <w:vAlign w:val="center"/>
          </w:tcPr>
          <w:p w14:paraId="4639B5B5" w14:textId="77777777" w:rsidR="000B3470" w:rsidRDefault="000B3470" w:rsidP="003C58C0">
            <w:pPr>
              <w:spacing w:line="360" w:lineRule="auto"/>
            </w:pPr>
          </w:p>
        </w:tc>
        <w:tc>
          <w:tcPr>
            <w:tcW w:w="3546" w:type="dxa"/>
            <w:tcBorders>
              <w:top w:val="single" w:sz="12" w:space="0" w:color="003399"/>
              <w:left w:val="single" w:sz="12" w:space="0" w:color="003399"/>
              <w:bottom w:val="single" w:sz="12" w:space="0" w:color="003399"/>
              <w:right w:val="single" w:sz="12" w:space="0" w:color="003399"/>
            </w:tcBorders>
            <w:vAlign w:val="center"/>
          </w:tcPr>
          <w:p w14:paraId="2EFCBB92" w14:textId="77777777" w:rsidR="000B3470" w:rsidRDefault="000B3470" w:rsidP="003C58C0">
            <w:pPr>
              <w:pStyle w:val="TableParagraph"/>
              <w:spacing w:line="360" w:lineRule="auto"/>
            </w:pPr>
            <w:r w:rsidRPr="000B3470">
              <w:rPr>
                <w:w w:val="105"/>
              </w:rPr>
              <w:t>Pilot actions developed jointly and implemented in projects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30B48936" w14:textId="77777777" w:rsidR="000B3470" w:rsidRDefault="000B3470" w:rsidP="003C58C0">
            <w:pPr>
              <w:pStyle w:val="TableParagraph"/>
              <w:spacing w:line="360" w:lineRule="auto"/>
            </w:pPr>
          </w:p>
        </w:tc>
      </w:tr>
    </w:tbl>
    <w:p w14:paraId="3C8A8B6F" w14:textId="77777777" w:rsidR="00404D92" w:rsidRPr="00404D92" w:rsidRDefault="00404D92" w:rsidP="003C58C0">
      <w:pPr>
        <w:spacing w:line="360" w:lineRule="auto"/>
      </w:pPr>
    </w:p>
    <w:p w14:paraId="49E65F7C" w14:textId="1067AF8F" w:rsidR="00B65201" w:rsidRPr="00D52F31" w:rsidRDefault="009E0AA5" w:rsidP="003C58C0">
      <w:pPr>
        <w:pStyle w:val="Heading2"/>
        <w:spacing w:line="360" w:lineRule="auto"/>
      </w:pPr>
      <w:bookmarkStart w:id="25" w:name="_Toc147242377"/>
      <w:r w:rsidRPr="00D52F31">
        <w:t>3</w:t>
      </w:r>
      <w:r w:rsidR="00B65201" w:rsidRPr="00D52F31">
        <w:t xml:space="preserve"> </w:t>
      </w:r>
      <w:r w:rsidR="0089529E">
        <w:t>PRIORITY</w:t>
      </w:r>
      <w:r w:rsidR="00B65201" w:rsidRPr="00D52F31">
        <w:t xml:space="preserve"> </w:t>
      </w:r>
      <w:r w:rsidR="00C44F7B" w:rsidRPr="00D52F31">
        <w:t xml:space="preserve">3 </w:t>
      </w:r>
      <w:r w:rsidR="003A3BA1" w:rsidRPr="00D52F31">
        <w:t xml:space="preserve">– </w:t>
      </w:r>
      <w:r w:rsidR="00C44F7B" w:rsidRPr="00D52F31">
        <w:t>Attractive South Baltic</w:t>
      </w:r>
      <w:r w:rsidR="00C32F77" w:rsidRPr="00D52F31">
        <w:t xml:space="preserve"> – </w:t>
      </w:r>
      <w:r w:rsidR="00C44F7B" w:rsidRPr="00D52F31">
        <w:t>activate the tourist and cultural</w:t>
      </w:r>
      <w:r w:rsidR="000578EF">
        <w:t xml:space="preserve"> p</w:t>
      </w:r>
      <w:r w:rsidR="00C44F7B" w:rsidRPr="00D52F31">
        <w:t>otential of S</w:t>
      </w:r>
      <w:r w:rsidRPr="00D52F31">
        <w:t>outh Baltic Area</w:t>
      </w:r>
      <w:bookmarkEnd w:id="25"/>
    </w:p>
    <w:p w14:paraId="47166541" w14:textId="7D069E9D" w:rsidR="00736C10" w:rsidRPr="00AF2B0C" w:rsidRDefault="00736C10" w:rsidP="003C58C0">
      <w:pPr>
        <w:spacing w:line="360" w:lineRule="auto"/>
        <w:rPr>
          <w:rFonts w:ascii="Open Sans SemiBold" w:eastAsia="Open Sans SemiBold" w:hAnsi="Open Sans SemiBold" w:cs="Open Sans SemiBold"/>
          <w:b/>
          <w:color w:val="003399"/>
          <w:szCs w:val="24"/>
        </w:rPr>
      </w:pPr>
      <w:r w:rsidRPr="00AF2B0C">
        <w:rPr>
          <w:rFonts w:ascii="Open Sans SemiBold" w:eastAsia="Open Sans SemiBold" w:hAnsi="Open Sans SemiBold" w:cs="Open Sans SemiBold"/>
          <w:b/>
          <w:color w:val="003399"/>
          <w:szCs w:val="24"/>
        </w:rPr>
        <w:t xml:space="preserve">Programme Measure 3.1: Developing sustainable, </w:t>
      </w:r>
      <w:r w:rsidR="003356BC" w:rsidRPr="00AF2B0C">
        <w:rPr>
          <w:rFonts w:ascii="Open Sans SemiBold" w:eastAsia="Open Sans SemiBold" w:hAnsi="Open Sans SemiBold" w:cs="Open Sans SemiBold"/>
          <w:b/>
          <w:color w:val="003399"/>
          <w:szCs w:val="24"/>
        </w:rPr>
        <w:t>resilient,</w:t>
      </w:r>
      <w:r w:rsidRPr="00AF2B0C">
        <w:rPr>
          <w:rFonts w:ascii="Open Sans SemiBold" w:eastAsia="Open Sans SemiBold" w:hAnsi="Open Sans SemiBold" w:cs="Open Sans SemiBold"/>
          <w:b/>
          <w:color w:val="003399"/>
          <w:szCs w:val="24"/>
        </w:rPr>
        <w:t xml:space="preserve"> and innovative tourism</w:t>
      </w:r>
    </w:p>
    <w:p w14:paraId="1C949D91" w14:textId="77777777" w:rsidR="009015FD" w:rsidRPr="00F54E78" w:rsidRDefault="00736C10" w:rsidP="003C58C0">
      <w:pPr>
        <w:spacing w:line="360" w:lineRule="auto"/>
      </w:pPr>
      <w:r w:rsidRPr="00F54E78">
        <w:t xml:space="preserve">The blue and green character of the </w:t>
      </w:r>
      <w:r w:rsidR="0091386B" w:rsidRPr="00F54E78">
        <w:t>South Baltic area</w:t>
      </w:r>
      <w:r w:rsidRPr="00F54E78">
        <w:t xml:space="preserve"> together with a shared cultural heritage are some of the key advantages in terms of developing the tourism sector.</w:t>
      </w:r>
      <w:r w:rsidR="00B120F5" w:rsidRPr="00F54E78">
        <w:t xml:space="preserve"> </w:t>
      </w:r>
    </w:p>
    <w:p w14:paraId="3DD410DF" w14:textId="77777777" w:rsidR="00622B72" w:rsidRDefault="00B120F5" w:rsidP="003C58C0">
      <w:pPr>
        <w:spacing w:line="360" w:lineRule="auto"/>
      </w:pPr>
      <w:r w:rsidRPr="00F54E78">
        <w:t>In this measure</w:t>
      </w:r>
      <w:r w:rsidR="00AB1DAC" w:rsidRPr="00F54E78">
        <w:t>,</w:t>
      </w:r>
      <w:r w:rsidRPr="00F54E78">
        <w:t xml:space="preserve"> the emphasis is </w:t>
      </w:r>
      <w:r w:rsidR="00AB1DAC" w:rsidRPr="00F54E78">
        <w:t xml:space="preserve">placed </w:t>
      </w:r>
      <w:r w:rsidRPr="00F54E78">
        <w:t xml:space="preserve">on the </w:t>
      </w:r>
      <w:r w:rsidR="00AB1DAC" w:rsidRPr="00F54E78">
        <w:t xml:space="preserve">development of </w:t>
      </w:r>
      <w:r w:rsidRPr="00F54E78">
        <w:t>sustainable tourism:</w:t>
      </w:r>
      <w:r w:rsidR="00736C10" w:rsidRPr="00F54E78">
        <w:t xml:space="preserve"> </w:t>
      </w:r>
      <w:r w:rsidRPr="00F54E78">
        <w:t xml:space="preserve">the </w:t>
      </w:r>
      <w:r w:rsidR="00736C10" w:rsidRPr="00F54E78">
        <w:t xml:space="preserve">actions should focus on the improvement of the tourist and cultural offers </w:t>
      </w:r>
      <w:r w:rsidR="009C1D7A" w:rsidRPr="00F54E78">
        <w:t xml:space="preserve">and </w:t>
      </w:r>
      <w:r w:rsidR="00736C10" w:rsidRPr="00F54E78">
        <w:t>creation of new ones forming new and innovative services and products that are socially</w:t>
      </w:r>
      <w:r w:rsidR="00D53FDB" w:rsidRPr="00F54E78">
        <w:t>, economically,</w:t>
      </w:r>
      <w:r w:rsidR="00736C10" w:rsidRPr="00F54E78">
        <w:t xml:space="preserve"> and environmentally sustainable</w:t>
      </w:r>
      <w:r w:rsidR="009C1D7A" w:rsidRPr="00F54E78">
        <w:t xml:space="preserve">; </w:t>
      </w:r>
      <w:r w:rsidRPr="00F54E78">
        <w:t>reduc</w:t>
      </w:r>
      <w:r w:rsidR="009C1D7A" w:rsidRPr="00F54E78">
        <w:t>tion of</w:t>
      </w:r>
      <w:r w:rsidRPr="00F54E78">
        <w:t xml:space="preserve"> the negative impact of travel and tourism on the natural environment</w:t>
      </w:r>
      <w:r w:rsidR="009C1D7A" w:rsidRPr="00F54E78">
        <w:t xml:space="preserve">; </w:t>
      </w:r>
      <w:r w:rsidRPr="00F54E78">
        <w:t>sustainable use of resources such as energy and water</w:t>
      </w:r>
      <w:r w:rsidR="009C1D7A" w:rsidRPr="00F54E78">
        <w:t xml:space="preserve"> as well as </w:t>
      </w:r>
      <w:r w:rsidR="009015FD" w:rsidRPr="00F54E78">
        <w:t>orientation towards</w:t>
      </w:r>
      <w:r w:rsidRPr="00F54E78">
        <w:t xml:space="preserve"> the needs of potential tourists without compromising the needs of the citizen</w:t>
      </w:r>
      <w:r w:rsidR="009C1D7A" w:rsidRPr="00F54E78">
        <w:t>.</w:t>
      </w:r>
    </w:p>
    <w:p w14:paraId="4AE60C81" w14:textId="56383346" w:rsidR="006A0A05" w:rsidRPr="004676B1" w:rsidRDefault="00736C10" w:rsidP="003C58C0">
      <w:pPr>
        <w:spacing w:line="360" w:lineRule="auto"/>
        <w:rPr>
          <w:rFonts w:ascii="Segoe UI" w:hAnsi="Segoe UI" w:cs="Segoe UI"/>
        </w:rPr>
      </w:pPr>
      <w:r w:rsidRPr="00F54E78">
        <w:lastRenderedPageBreak/>
        <w:t>The activities may also contribute to mitigati</w:t>
      </w:r>
      <w:r w:rsidR="00AB1DAC" w:rsidRPr="00F54E78">
        <w:t>ng</w:t>
      </w:r>
      <w:r w:rsidRPr="00F54E78">
        <w:t xml:space="preserve"> tourism seasonality and </w:t>
      </w:r>
      <w:r w:rsidR="00AB1DAC" w:rsidRPr="00F54E78">
        <w:t xml:space="preserve">the </w:t>
      </w:r>
      <w:r w:rsidRPr="00F54E78">
        <w:t>transition towards sustainable, year-round tourism.</w:t>
      </w:r>
    </w:p>
    <w:p w14:paraId="6D68407D" w14:textId="62890EF9" w:rsidR="00622B72" w:rsidRDefault="00622B72" w:rsidP="003C58C0">
      <w:pPr>
        <w:spacing w:line="360" w:lineRule="auto"/>
        <w:rPr>
          <w:rFonts w:eastAsia="Open Sans" w:cs="Open Sans"/>
          <w:sz w:val="20"/>
          <w:szCs w:val="20"/>
        </w:rPr>
      </w:pPr>
      <w:r>
        <w:rPr>
          <w:noProof/>
        </w:rPr>
        <mc:AlternateContent>
          <mc:Choice Requires="wps">
            <w:drawing>
              <wp:inline distT="0" distB="0" distL="0" distR="0" wp14:anchorId="2F1C7AE1" wp14:editId="617E57E0">
                <wp:extent cx="5774055" cy="847725"/>
                <wp:effectExtent l="0" t="0" r="17145" b="28575"/>
                <wp:docPr id="327" name="Text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847725"/>
                        </a:xfrm>
                        <a:prstGeom prst="rect">
                          <a:avLst/>
                        </a:prstGeom>
                        <a:ln w="12700">
                          <a:solidFill>
                            <a:srgbClr val="003399"/>
                          </a:solidFill>
                          <a:prstDash val="solid"/>
                        </a:ln>
                      </wps:spPr>
                      <wps:txbx>
                        <w:txbxContent>
                          <w:p w14:paraId="35F5E515" w14:textId="77777777" w:rsidR="0099535F" w:rsidRPr="00AF2B0C" w:rsidRDefault="00F54E78" w:rsidP="00805C22">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NB: </w:t>
                            </w:r>
                          </w:p>
                          <w:p w14:paraId="4B31D224" w14:textId="0CDA8390" w:rsidR="00F54E78" w:rsidRPr="00AF2B0C" w:rsidRDefault="00F54E78" w:rsidP="00805C22">
                            <w:pPr>
                              <w:pStyle w:val="BodyText"/>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No “stand-alone” infrastructure or actions without cross-border dimension shall be co-financed!</w:t>
                            </w:r>
                          </w:p>
                        </w:txbxContent>
                      </wps:txbx>
                      <wps:bodyPr wrap="square" lIns="0" tIns="0" rIns="0" bIns="0" rtlCol="0">
                        <a:noAutofit/>
                      </wps:bodyPr>
                    </wps:wsp>
                  </a:graphicData>
                </a:graphic>
              </wp:inline>
            </w:drawing>
          </mc:Choice>
          <mc:Fallback>
            <w:pict>
              <v:shape w14:anchorId="2F1C7AE1" id="Textbox 327" o:spid="_x0000_s1037" type="#_x0000_t202" style="width:454.6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" filled="f" strokecolor="#039" strokeweight="1pt">
                <v:path arrowok="t"/>
                <v:textbox inset="0,0,0,0">
                  <w:txbxContent>
                    <w:p w14:paraId="35F5E515" w14:textId="77777777" w:rsidR="0099535F" w:rsidRPr="00AF2B0C" w:rsidRDefault="00F54E78" w:rsidP="00805C22">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NB: </w:t>
                      </w:r>
                    </w:p>
                    <w:p w14:paraId="4B31D224" w14:textId="0CDA8390" w:rsidR="00F54E78" w:rsidRPr="00AF2B0C" w:rsidRDefault="00F54E78" w:rsidP="00805C22">
                      <w:pPr>
                        <w:pStyle w:val="BodyText"/>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No “stand-alone” infrastructure or actions without cross-border dimension shall be co-financed!</w:t>
                      </w:r>
                    </w:p>
                  </w:txbxContent>
                </v:textbox>
                <w10:anchorlock/>
              </v:shape>
            </w:pict>
          </mc:Fallback>
        </mc:AlternateContent>
      </w:r>
    </w:p>
    <w:p w14:paraId="3FB3429F" w14:textId="4DF8F2D7" w:rsidR="00736C10" w:rsidRPr="00F54E78" w:rsidRDefault="00736C10" w:rsidP="003C58C0">
      <w:pPr>
        <w:spacing w:line="360" w:lineRule="auto"/>
      </w:pPr>
      <w:r w:rsidRPr="00F54E78">
        <w:t>The Measure supports:</w:t>
      </w:r>
    </w:p>
    <w:p w14:paraId="191D928A" w14:textId="01D20B6E" w:rsidR="00452273" w:rsidRPr="00F54E78" w:rsidRDefault="00D502B5" w:rsidP="003C58C0">
      <w:pPr>
        <w:pStyle w:val="ListParagraph"/>
        <w:numPr>
          <w:ilvl w:val="0"/>
          <w:numId w:val="45"/>
        </w:numPr>
        <w:spacing w:line="360" w:lineRule="auto"/>
      </w:pPr>
      <w:r w:rsidRPr="00F54E78">
        <w:t>Increase</w:t>
      </w:r>
      <w:r w:rsidR="00452273" w:rsidRPr="00F54E78">
        <w:t xml:space="preserve"> </w:t>
      </w:r>
      <w:r w:rsidR="0091386B" w:rsidRPr="00F54E78">
        <w:t>the visibility of the S</w:t>
      </w:r>
      <w:r w:rsidRPr="00F54E78">
        <w:t>outh Baltic area</w:t>
      </w:r>
      <w:r w:rsidR="0091386B" w:rsidRPr="00F54E78">
        <w:t xml:space="preserve"> as a tourist-attractive area and strengthen</w:t>
      </w:r>
      <w:r w:rsidR="00452273" w:rsidRPr="00F54E78">
        <w:t xml:space="preserve"> </w:t>
      </w:r>
      <w:r w:rsidR="0091386B" w:rsidRPr="00F54E78">
        <w:t>its common tourist and cultural offer</w:t>
      </w:r>
      <w:r w:rsidRPr="00F54E78">
        <w:t>.</w:t>
      </w:r>
    </w:p>
    <w:p w14:paraId="1FEA6218" w14:textId="65728023" w:rsidR="00452273" w:rsidRPr="00F54E78" w:rsidRDefault="00452273" w:rsidP="003C58C0">
      <w:pPr>
        <w:pStyle w:val="ListParagraph"/>
        <w:numPr>
          <w:ilvl w:val="0"/>
          <w:numId w:val="45"/>
        </w:numPr>
        <w:spacing w:line="360" w:lineRule="auto"/>
      </w:pPr>
      <w:r w:rsidRPr="00F54E78">
        <w:t>Improve</w:t>
      </w:r>
      <w:r w:rsidR="00A21C1F" w:rsidRPr="00F54E78">
        <w:t>ment</w:t>
      </w:r>
      <w:r w:rsidRPr="00F54E78">
        <w:t xml:space="preserve"> and develop</w:t>
      </w:r>
      <w:r w:rsidR="00A21C1F" w:rsidRPr="00F54E78">
        <w:t>ment of</w:t>
      </w:r>
      <w:r w:rsidRPr="00F54E78">
        <w:t xml:space="preserve"> sustainable touristic offers, products, and services as well as cross-border networks and cooperation links between regions and countries to reinforce </w:t>
      </w:r>
      <w:r w:rsidR="00A21C1F" w:rsidRPr="00F54E78">
        <w:t xml:space="preserve">the </w:t>
      </w:r>
      <w:r w:rsidRPr="00F54E78">
        <w:t>touristic sector.</w:t>
      </w:r>
    </w:p>
    <w:p w14:paraId="74EA7C80" w14:textId="250E3550" w:rsidR="00452273" w:rsidRPr="00F54E78" w:rsidRDefault="00A21C1F" w:rsidP="003C58C0">
      <w:pPr>
        <w:pStyle w:val="ListParagraph"/>
        <w:numPr>
          <w:ilvl w:val="0"/>
          <w:numId w:val="45"/>
        </w:numPr>
        <w:spacing w:line="360" w:lineRule="auto"/>
      </w:pPr>
      <w:r w:rsidRPr="00F54E78">
        <w:t>Use of</w:t>
      </w:r>
      <w:r w:rsidR="00452273" w:rsidRPr="00F54E78">
        <w:t xml:space="preserve"> the potential of cultural and creative sectors and natural resources as a means of strengthening </w:t>
      </w:r>
      <w:r w:rsidRPr="00F54E78">
        <w:t xml:space="preserve">the </w:t>
      </w:r>
      <w:r w:rsidR="00452273" w:rsidRPr="00F54E78">
        <w:t>tourist attractiveness, mitigating seasonality, and transitioning towards sustainable, all-year-round tours in the SBA.</w:t>
      </w:r>
    </w:p>
    <w:p w14:paraId="43979012" w14:textId="77777777" w:rsidR="00736C10" w:rsidRPr="003A4371" w:rsidRDefault="00736C10" w:rsidP="003C58C0">
      <w:pPr>
        <w:spacing w:line="360" w:lineRule="auto"/>
        <w:rPr>
          <w:rFonts w:ascii="Segoe UI" w:hAnsi="Segoe UI" w:cs="Segoe UI"/>
          <w:lang w:val="en-GB"/>
        </w:rPr>
      </w:pPr>
      <w:r w:rsidRPr="00F54E78">
        <w:t>The indicative list of cross-border activities includes:</w:t>
      </w:r>
    </w:p>
    <w:p w14:paraId="59EA4F6C" w14:textId="561C8FE3" w:rsidR="00CC0FCB" w:rsidRPr="00F54E78" w:rsidRDefault="00937020" w:rsidP="003C58C0">
      <w:pPr>
        <w:pStyle w:val="ListParagraph"/>
        <w:numPr>
          <w:ilvl w:val="0"/>
          <w:numId w:val="46"/>
        </w:numPr>
        <w:spacing w:line="360" w:lineRule="auto"/>
      </w:pPr>
      <w:r w:rsidRPr="00F54E78">
        <w:t>Building or strengthening networks of tourism and cultural actors and exchange of knowledge in the field of development of tourism or culture</w:t>
      </w:r>
      <w:r w:rsidR="008B5F28">
        <w:t>.</w:t>
      </w:r>
    </w:p>
    <w:p w14:paraId="054F4B0D" w14:textId="52C1F2A1" w:rsidR="00CC0FCB" w:rsidRPr="00F54E78" w:rsidRDefault="00937020" w:rsidP="003C58C0">
      <w:pPr>
        <w:pStyle w:val="ListParagraph"/>
        <w:numPr>
          <w:ilvl w:val="0"/>
          <w:numId w:val="46"/>
        </w:numPr>
        <w:spacing w:line="360" w:lineRule="auto"/>
      </w:pPr>
      <w:r w:rsidRPr="00F54E78">
        <w:t>Development of joint strategies and solutions for tourism and cultural sectors, including the creative industries, development of innovative solutions related to tourism and culture (including digital solutions</w:t>
      </w:r>
      <w:r w:rsidR="00CC0FCB" w:rsidRPr="00F54E78">
        <w:t>)</w:t>
      </w:r>
      <w:r w:rsidR="008B5F28">
        <w:t>.</w:t>
      </w:r>
    </w:p>
    <w:p w14:paraId="63C166FB" w14:textId="77777777" w:rsidR="00CC0FCB" w:rsidRPr="00F54E78" w:rsidRDefault="00CC0FCB" w:rsidP="003C58C0">
      <w:pPr>
        <w:pStyle w:val="ListParagraph"/>
        <w:numPr>
          <w:ilvl w:val="0"/>
          <w:numId w:val="46"/>
        </w:numPr>
        <w:spacing w:line="360" w:lineRule="auto"/>
      </w:pPr>
      <w:r w:rsidRPr="00F54E78">
        <w:t>I</w:t>
      </w:r>
      <w:r w:rsidR="00937020" w:rsidRPr="00F54E78">
        <w:t>mprovement of cross-border offers and products of sustainable tourism, small-scale tourism infrastructure including:</w:t>
      </w:r>
    </w:p>
    <w:p w14:paraId="29B11B98" w14:textId="7585E42D" w:rsidR="00CC0FCB" w:rsidRPr="00F54E78" w:rsidRDefault="00937020" w:rsidP="003C58C0">
      <w:pPr>
        <w:pStyle w:val="ListParagraph"/>
        <w:numPr>
          <w:ilvl w:val="0"/>
          <w:numId w:val="4"/>
        </w:numPr>
        <w:spacing w:line="360" w:lineRule="auto"/>
      </w:pPr>
      <w:r w:rsidRPr="00F54E78">
        <w:t>small investments in cross-border tourism routes</w:t>
      </w:r>
    </w:p>
    <w:p w14:paraId="37A5D120" w14:textId="2C8F7C73" w:rsidR="00CC0FCB" w:rsidRPr="00F54E78" w:rsidRDefault="00937020" w:rsidP="003C58C0">
      <w:pPr>
        <w:pStyle w:val="ListParagraph"/>
        <w:numPr>
          <w:ilvl w:val="0"/>
          <w:numId w:val="4"/>
        </w:numPr>
        <w:spacing w:line="360" w:lineRule="auto"/>
      </w:pPr>
      <w:r w:rsidRPr="00F54E78">
        <w:t>preservation of joint cultural heritage</w:t>
      </w:r>
    </w:p>
    <w:p w14:paraId="4CB9B525" w14:textId="3472EAC8" w:rsidR="00937020" w:rsidRPr="00F54E78" w:rsidRDefault="00937020" w:rsidP="003C58C0">
      <w:pPr>
        <w:pStyle w:val="ListParagraph"/>
        <w:numPr>
          <w:ilvl w:val="0"/>
          <w:numId w:val="4"/>
        </w:numPr>
        <w:spacing w:line="360" w:lineRule="auto"/>
      </w:pPr>
      <w:r w:rsidRPr="00F54E78">
        <w:lastRenderedPageBreak/>
        <w:t>adaptation to the needs of people with special requirements or disabilities.</w:t>
      </w:r>
    </w:p>
    <w:p w14:paraId="4F00BEC4" w14:textId="67646B9B" w:rsidR="00CC0FCB" w:rsidRPr="00F54E78" w:rsidRDefault="00CC0FCB" w:rsidP="003C58C0">
      <w:pPr>
        <w:pStyle w:val="ListParagraph"/>
        <w:numPr>
          <w:ilvl w:val="0"/>
          <w:numId w:val="46"/>
        </w:numPr>
        <w:spacing w:line="360" w:lineRule="auto"/>
      </w:pPr>
      <w:r w:rsidRPr="00F54E78">
        <w:t>S</w:t>
      </w:r>
      <w:r w:rsidR="00937020" w:rsidRPr="00F54E78">
        <w:t>trengthening the sustainability dimension of tourism</w:t>
      </w:r>
      <w:r w:rsidR="00AB1DAC" w:rsidRPr="00F54E78">
        <w:t>,</w:t>
      </w:r>
      <w:r w:rsidR="00937020" w:rsidRPr="00F54E78">
        <w:t xml:space="preserve"> including:</w:t>
      </w:r>
    </w:p>
    <w:p w14:paraId="777DA4C1" w14:textId="17A6030C" w:rsidR="00CC0FCB" w:rsidRPr="00F54E78" w:rsidRDefault="00937020" w:rsidP="003C58C0">
      <w:pPr>
        <w:pStyle w:val="ListParagraph"/>
        <w:numPr>
          <w:ilvl w:val="0"/>
          <w:numId w:val="4"/>
        </w:numPr>
        <w:spacing w:line="360" w:lineRule="auto"/>
      </w:pPr>
      <w:r w:rsidRPr="00F54E78">
        <w:t>pro-ecological solutions</w:t>
      </w:r>
    </w:p>
    <w:p w14:paraId="47EBBC77" w14:textId="78BFD489" w:rsidR="00CC0FCB" w:rsidRPr="00F54E78" w:rsidRDefault="00937020" w:rsidP="003C58C0">
      <w:pPr>
        <w:pStyle w:val="ListParagraph"/>
        <w:numPr>
          <w:ilvl w:val="0"/>
          <w:numId w:val="4"/>
        </w:numPr>
        <w:spacing w:line="360" w:lineRule="auto"/>
      </w:pPr>
      <w:r w:rsidRPr="00F54E78">
        <w:t xml:space="preserve">reducing the negative impact on the </w:t>
      </w:r>
      <w:r w:rsidR="00CC0FCB" w:rsidRPr="00F54E78">
        <w:t>environment</w:t>
      </w:r>
    </w:p>
    <w:p w14:paraId="6B166986" w14:textId="56CFB0D6" w:rsidR="00CC0FCB" w:rsidRPr="00F54E78" w:rsidRDefault="00937020" w:rsidP="003C58C0">
      <w:pPr>
        <w:pStyle w:val="ListParagraph"/>
        <w:numPr>
          <w:ilvl w:val="0"/>
          <w:numId w:val="4"/>
        </w:numPr>
        <w:spacing w:line="360" w:lineRule="auto"/>
      </w:pPr>
      <w:r w:rsidRPr="00F54E78">
        <w:t xml:space="preserve">promotion of slow tourism and health </w:t>
      </w:r>
      <w:r w:rsidR="00BD2DFC" w:rsidRPr="00F54E78">
        <w:t>tourism</w:t>
      </w:r>
    </w:p>
    <w:p w14:paraId="465E4808" w14:textId="724980F4" w:rsidR="00CC0FCB" w:rsidRPr="00F54E78" w:rsidRDefault="00937020" w:rsidP="003C58C0">
      <w:pPr>
        <w:pStyle w:val="ListParagraph"/>
        <w:numPr>
          <w:ilvl w:val="0"/>
          <w:numId w:val="4"/>
        </w:numPr>
        <w:spacing w:line="360" w:lineRule="auto"/>
      </w:pPr>
      <w:r w:rsidRPr="00F54E78">
        <w:t xml:space="preserve">actions involving local communities into the functioning of </w:t>
      </w:r>
      <w:r w:rsidR="00AB1DAC" w:rsidRPr="00F54E78">
        <w:t xml:space="preserve">the </w:t>
      </w:r>
      <w:r w:rsidRPr="00F54E78">
        <w:t>tourism and culture sector</w:t>
      </w:r>
    </w:p>
    <w:p w14:paraId="1A80514A" w14:textId="1D364769" w:rsidR="00937020" w:rsidRPr="00F54E78" w:rsidRDefault="00937020" w:rsidP="003C58C0">
      <w:pPr>
        <w:pStyle w:val="ListParagraph"/>
        <w:numPr>
          <w:ilvl w:val="0"/>
          <w:numId w:val="4"/>
        </w:numPr>
        <w:spacing w:line="360" w:lineRule="auto"/>
      </w:pPr>
      <w:r w:rsidRPr="00F54E78">
        <w:t xml:space="preserve">use of social innovations in tourism and culture. </w:t>
      </w:r>
    </w:p>
    <w:p w14:paraId="4E225923" w14:textId="2BAF9C48" w:rsidR="0099734C" w:rsidRDefault="00AB1DAC" w:rsidP="003C58C0">
      <w:pPr>
        <w:pStyle w:val="ListParagraph"/>
        <w:numPr>
          <w:ilvl w:val="0"/>
          <w:numId w:val="36"/>
        </w:numPr>
        <w:spacing w:line="360" w:lineRule="auto"/>
      </w:pPr>
      <w:r w:rsidRPr="00F54E78">
        <w:t xml:space="preserve">Promoting </w:t>
      </w:r>
      <w:r w:rsidR="00937020" w:rsidRPr="00F54E78">
        <w:t>the common brand of the South Baltic and joint cultural or natural tourism heritage</w:t>
      </w:r>
      <w:r w:rsidRPr="00F54E78">
        <w:t>,</w:t>
      </w:r>
      <w:r w:rsidR="00937020" w:rsidRPr="00F54E78">
        <w:t xml:space="preserve"> e.g., promotion campaigns or events. </w:t>
      </w:r>
      <w:bookmarkStart w:id="26" w:name="_Hlk108527768"/>
    </w:p>
    <w:p w14:paraId="4A1133AE" w14:textId="33238E4A" w:rsidR="00153519" w:rsidRPr="003C58C0" w:rsidRDefault="003C58C0" w:rsidP="003C58C0">
      <w:pPr>
        <w:spacing w:line="360" w:lineRule="auto"/>
      </w:pPr>
      <w:r>
        <w:rPr>
          <w:noProof/>
        </w:rPr>
        <mc:AlternateContent>
          <mc:Choice Requires="wps">
            <w:drawing>
              <wp:inline distT="0" distB="0" distL="0" distR="0" wp14:anchorId="6DBC6491" wp14:editId="6F6AF16E">
                <wp:extent cx="5772785" cy="1990725"/>
                <wp:effectExtent l="0" t="0" r="18415" b="28575"/>
                <wp:docPr id="88184780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1990725"/>
                        </a:xfrm>
                        <a:prstGeom prst="rect">
                          <a:avLst/>
                        </a:prstGeom>
                        <a:ln w="12700">
                          <a:solidFill>
                            <a:srgbClr val="003399"/>
                          </a:solidFill>
                          <a:prstDash val="solid"/>
                        </a:ln>
                      </wps:spPr>
                      <wps:txbx>
                        <w:txbxContent>
                          <w:p w14:paraId="018684B2" w14:textId="77777777" w:rsidR="003C58C0" w:rsidRPr="00AF2B0C" w:rsidRDefault="003C58C0" w:rsidP="003C58C0">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209D4023" w14:textId="77777777" w:rsidR="003C58C0" w:rsidRPr="00AF2B0C" w:rsidRDefault="003C58C0" w:rsidP="003C58C0">
                            <w:pPr>
                              <w:pStyle w:val="BodyText"/>
                              <w:numPr>
                                <w:ilvl w:val="0"/>
                                <w:numId w:val="80"/>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4BB23D48" w14:textId="77777777" w:rsidR="003C58C0" w:rsidRPr="00AF2B0C" w:rsidRDefault="003C58C0" w:rsidP="003C58C0">
                            <w:pPr>
                              <w:pStyle w:val="BodyText"/>
                              <w:numPr>
                                <w:ilvl w:val="0"/>
                                <w:numId w:val="80"/>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0FE5CBD6" w14:textId="77777777" w:rsidR="003C58C0" w:rsidRPr="00AF2B0C" w:rsidRDefault="003C58C0" w:rsidP="003C58C0">
                            <w:pPr>
                              <w:pStyle w:val="BodyText"/>
                              <w:numPr>
                                <w:ilvl w:val="0"/>
                                <w:numId w:val="80"/>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7DC99646" w14:textId="77777777" w:rsidR="003C58C0" w:rsidRPr="002E2B63" w:rsidRDefault="003C58C0" w:rsidP="003C58C0">
                            <w:pPr>
                              <w:pStyle w:val="BodyText"/>
                              <w:rPr>
                                <w:rFonts w:eastAsia="Open Sans"/>
                              </w:rPr>
                            </w:pPr>
                          </w:p>
                        </w:txbxContent>
                      </wps:txbx>
                      <wps:bodyPr wrap="square" lIns="0" tIns="0" rIns="0" bIns="0" rtlCol="0">
                        <a:noAutofit/>
                      </wps:bodyPr>
                    </wps:wsp>
                  </a:graphicData>
                </a:graphic>
              </wp:inline>
            </w:drawing>
          </mc:Choice>
          <mc:Fallback>
            <w:pict>
              <v:shape w14:anchorId="6DBC6491" id="_x0000_s1038" type="#_x0000_t202" style="width:454.55pt;height:15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" filled="f" strokecolor="#039" strokeweight="1pt">
                <v:path arrowok="t"/>
                <v:textbox inset="0,0,0,0">
                  <w:txbxContent>
                    <w:p w14:paraId="018684B2" w14:textId="77777777" w:rsidR="003C58C0" w:rsidRPr="00AF2B0C" w:rsidRDefault="003C58C0" w:rsidP="003C58C0">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209D4023" w14:textId="77777777" w:rsidR="003C58C0" w:rsidRPr="00AF2B0C" w:rsidRDefault="003C58C0" w:rsidP="003C58C0">
                      <w:pPr>
                        <w:pStyle w:val="BodyText"/>
                        <w:numPr>
                          <w:ilvl w:val="0"/>
                          <w:numId w:val="80"/>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w:t>
                      </w:r>
                    </w:p>
                    <w:p w14:paraId="4BB23D48" w14:textId="77777777" w:rsidR="003C58C0" w:rsidRPr="00AF2B0C" w:rsidRDefault="003C58C0" w:rsidP="003C58C0">
                      <w:pPr>
                        <w:pStyle w:val="BodyText"/>
                        <w:numPr>
                          <w:ilvl w:val="0"/>
                          <w:numId w:val="80"/>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 – scale projects may be implemented under this Measure.</w:t>
                      </w:r>
                    </w:p>
                    <w:p w14:paraId="0FE5CBD6" w14:textId="77777777" w:rsidR="003C58C0" w:rsidRPr="00AF2B0C" w:rsidRDefault="003C58C0" w:rsidP="003C58C0">
                      <w:pPr>
                        <w:pStyle w:val="BodyText"/>
                        <w:numPr>
                          <w:ilvl w:val="0"/>
                          <w:numId w:val="80"/>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 – scale infrastructure is not possible!</w:t>
                      </w:r>
                    </w:p>
                    <w:p w14:paraId="7DC99646" w14:textId="77777777" w:rsidR="003C58C0" w:rsidRPr="002E2B63" w:rsidRDefault="003C58C0" w:rsidP="003C58C0">
                      <w:pPr>
                        <w:pStyle w:val="BodyText"/>
                        <w:rPr>
                          <w:rFonts w:eastAsia="Open Sans"/>
                        </w:rPr>
                      </w:pPr>
                    </w:p>
                  </w:txbxContent>
                </v:textbox>
                <w10:anchorlock/>
              </v:shape>
            </w:pict>
          </mc:Fallback>
        </mc:AlternateContent>
      </w:r>
    </w:p>
    <w:bookmarkEnd w:id="26"/>
    <w:tbl>
      <w:tblPr>
        <w:tblStyle w:val="TableNormal1"/>
        <w:tblpPr w:leftFromText="180" w:rightFromText="180" w:vertAnchor="text" w:horzAnchor="margin" w:tblpY="150"/>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Indicators for Measure 3.1"/>
        <w:tblDescription w:val="Output indicators&#10;Obligatory output indicators&#10;• Jointly developed solutions&#10;Optional output indicators (Projects shall select and contribute to other Programme indicators according to the focus and activities of the project)&#10;• Cultural and tourism sites supported&#10;• Pilot actions developed jointly and implemented in projects&#10;• Organisations cooperating across borders&#10;Result indicators&#10;Obligatory result indicators&#10;• Solutions taken up or up-scaled by organisations&#10;Optional result indicators&#10;• Visitors of cultural and tourism sites supported&#10;• Organisations cooperating across borders after project completion"/>
      </w:tblPr>
      <w:tblGrid>
        <w:gridCol w:w="1584"/>
        <w:gridCol w:w="3531"/>
        <w:gridCol w:w="3960"/>
      </w:tblGrid>
      <w:tr w:rsidR="00622B72" w14:paraId="446CE1D6" w14:textId="77777777" w:rsidTr="00B62D9C">
        <w:trPr>
          <w:trHeight w:val="473"/>
          <w:tblHeader/>
        </w:trPr>
        <w:tc>
          <w:tcPr>
            <w:tcW w:w="1584" w:type="dxa"/>
            <w:tcBorders>
              <w:left w:val="single" w:sz="12" w:space="0" w:color="003399"/>
              <w:bottom w:val="single" w:sz="12" w:space="0" w:color="003399"/>
              <w:right w:val="single" w:sz="12" w:space="0" w:color="003399"/>
            </w:tcBorders>
          </w:tcPr>
          <w:p w14:paraId="450246A5" w14:textId="77777777" w:rsidR="00622B72" w:rsidRDefault="00622B72" w:rsidP="003C58C0">
            <w:pPr>
              <w:pStyle w:val="TableParagraph"/>
              <w:spacing w:line="360" w:lineRule="auto"/>
            </w:pPr>
          </w:p>
        </w:tc>
        <w:tc>
          <w:tcPr>
            <w:tcW w:w="3531" w:type="dxa"/>
            <w:tcBorders>
              <w:left w:val="single" w:sz="12" w:space="0" w:color="003399"/>
              <w:bottom w:val="single" w:sz="12" w:space="0" w:color="003399"/>
              <w:right w:val="single" w:sz="12" w:space="0" w:color="003399"/>
            </w:tcBorders>
          </w:tcPr>
          <w:p w14:paraId="035D1198" w14:textId="77777777" w:rsidR="00622B72" w:rsidRDefault="00622B72" w:rsidP="003C58C0">
            <w:pPr>
              <w:pStyle w:val="TableParagraph"/>
              <w:spacing w:line="360" w:lineRule="auto"/>
            </w:pPr>
            <w:r>
              <w:t>Output</w:t>
            </w:r>
            <w:r>
              <w:rPr>
                <w:spacing w:val="16"/>
              </w:rPr>
              <w:t xml:space="preserve"> </w:t>
            </w:r>
            <w:r>
              <w:t>indicators</w:t>
            </w:r>
          </w:p>
        </w:tc>
        <w:tc>
          <w:tcPr>
            <w:tcW w:w="3960" w:type="dxa"/>
            <w:tcBorders>
              <w:left w:val="single" w:sz="12" w:space="0" w:color="003399"/>
              <w:bottom w:val="single" w:sz="12" w:space="0" w:color="003399"/>
              <w:right w:val="single" w:sz="12" w:space="0" w:color="003399"/>
            </w:tcBorders>
          </w:tcPr>
          <w:p w14:paraId="2478AC0B" w14:textId="77777777" w:rsidR="00622B72" w:rsidRDefault="00622B72" w:rsidP="003C58C0">
            <w:pPr>
              <w:pStyle w:val="TableParagraph"/>
              <w:spacing w:line="360" w:lineRule="auto"/>
            </w:pPr>
            <w:r>
              <w:t>Results</w:t>
            </w:r>
            <w:r>
              <w:rPr>
                <w:spacing w:val="21"/>
              </w:rPr>
              <w:t xml:space="preserve"> </w:t>
            </w:r>
            <w:r>
              <w:t>indicators</w:t>
            </w:r>
          </w:p>
        </w:tc>
      </w:tr>
      <w:tr w:rsidR="00622B72" w:rsidRPr="00805C22" w14:paraId="505D155E" w14:textId="77777777" w:rsidTr="00622B72">
        <w:trPr>
          <w:trHeight w:val="691"/>
        </w:trPr>
        <w:tc>
          <w:tcPr>
            <w:tcW w:w="1584" w:type="dxa"/>
            <w:tcBorders>
              <w:top w:val="single" w:sz="12" w:space="0" w:color="003399"/>
              <w:left w:val="single" w:sz="12" w:space="0" w:color="003399"/>
              <w:bottom w:val="single" w:sz="12" w:space="0" w:color="003399"/>
              <w:right w:val="single" w:sz="12" w:space="0" w:color="003399"/>
            </w:tcBorders>
            <w:vAlign w:val="center"/>
          </w:tcPr>
          <w:p w14:paraId="20209F4B" w14:textId="77777777" w:rsidR="00622B72" w:rsidRDefault="00622B72" w:rsidP="003C58C0">
            <w:pPr>
              <w:pStyle w:val="TableParagraph"/>
              <w:spacing w:line="360" w:lineRule="auto"/>
            </w:pPr>
            <w:r>
              <w:rPr>
                <w:w w:val="105"/>
              </w:rPr>
              <w:t>Obligatory</w:t>
            </w:r>
          </w:p>
        </w:tc>
        <w:tc>
          <w:tcPr>
            <w:tcW w:w="3531" w:type="dxa"/>
            <w:tcBorders>
              <w:top w:val="single" w:sz="12" w:space="0" w:color="003399"/>
              <w:left w:val="single" w:sz="12" w:space="0" w:color="003399"/>
              <w:bottom w:val="single" w:sz="12" w:space="0" w:color="003399"/>
              <w:right w:val="single" w:sz="12" w:space="0" w:color="003399"/>
            </w:tcBorders>
            <w:vAlign w:val="center"/>
          </w:tcPr>
          <w:p w14:paraId="1E8BBDD7" w14:textId="77777777" w:rsidR="00622B72" w:rsidRPr="00334263" w:rsidRDefault="00622B72" w:rsidP="003C58C0">
            <w:pPr>
              <w:pStyle w:val="TableParagraph"/>
              <w:spacing w:line="360" w:lineRule="auto"/>
              <w:rPr>
                <w:w w:val="105"/>
              </w:rPr>
            </w:pPr>
            <w:r w:rsidRPr="00334263">
              <w:rPr>
                <w:w w:val="105"/>
              </w:rPr>
              <w:t>Jointly developed solutions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71FEA06B" w14:textId="77777777" w:rsidR="00622B72" w:rsidRPr="00334263" w:rsidRDefault="00622B72" w:rsidP="003C58C0">
            <w:pPr>
              <w:pStyle w:val="TableParagraph"/>
              <w:spacing w:line="360" w:lineRule="auto"/>
              <w:rPr>
                <w:w w:val="105"/>
              </w:rPr>
            </w:pPr>
            <w:r>
              <w:rPr>
                <w:w w:val="105"/>
              </w:rPr>
              <w:t>Solutions</w:t>
            </w:r>
            <w:r w:rsidRPr="00334263">
              <w:rPr>
                <w:w w:val="105"/>
              </w:rPr>
              <w:t xml:space="preserve"> </w:t>
            </w:r>
            <w:r>
              <w:rPr>
                <w:w w:val="105"/>
              </w:rPr>
              <w:t>taken</w:t>
            </w:r>
            <w:r w:rsidRPr="00334263">
              <w:rPr>
                <w:w w:val="105"/>
              </w:rPr>
              <w:t xml:space="preserve"> </w:t>
            </w:r>
            <w:r>
              <w:rPr>
                <w:w w:val="105"/>
              </w:rPr>
              <w:t>up</w:t>
            </w:r>
            <w:r w:rsidRPr="00334263">
              <w:rPr>
                <w:w w:val="105"/>
              </w:rPr>
              <w:t xml:space="preserve"> </w:t>
            </w:r>
            <w:r>
              <w:rPr>
                <w:w w:val="105"/>
              </w:rPr>
              <w:t>or</w:t>
            </w:r>
            <w:r w:rsidRPr="00334263">
              <w:rPr>
                <w:w w:val="105"/>
              </w:rPr>
              <w:t xml:space="preserve"> </w:t>
            </w:r>
            <w:r>
              <w:rPr>
                <w:w w:val="105"/>
              </w:rPr>
              <w:t>up-scaled</w:t>
            </w:r>
            <w:r w:rsidRPr="00334263">
              <w:rPr>
                <w:w w:val="105"/>
              </w:rPr>
              <w:t xml:space="preserve"> </w:t>
            </w:r>
            <w:r>
              <w:rPr>
                <w:w w:val="105"/>
              </w:rPr>
              <w:t>by organisations</w:t>
            </w:r>
          </w:p>
        </w:tc>
      </w:tr>
      <w:tr w:rsidR="00622B72" w:rsidRPr="00805C22" w14:paraId="5C8C3A3D" w14:textId="77777777" w:rsidTr="00622B72">
        <w:trPr>
          <w:trHeight w:val="739"/>
        </w:trPr>
        <w:tc>
          <w:tcPr>
            <w:tcW w:w="1584" w:type="dxa"/>
            <w:vMerge w:val="restart"/>
            <w:tcBorders>
              <w:top w:val="single" w:sz="12" w:space="0" w:color="003399"/>
              <w:left w:val="single" w:sz="12" w:space="0" w:color="003399"/>
              <w:bottom w:val="single" w:sz="12" w:space="0" w:color="003399"/>
              <w:right w:val="single" w:sz="12" w:space="0" w:color="003399"/>
            </w:tcBorders>
            <w:vAlign w:val="center"/>
          </w:tcPr>
          <w:p w14:paraId="1E099197" w14:textId="77777777" w:rsidR="00622B72" w:rsidRDefault="00622B72" w:rsidP="003C58C0">
            <w:pPr>
              <w:pStyle w:val="TableParagraph"/>
              <w:spacing w:line="360" w:lineRule="auto"/>
              <w:rPr>
                <w:sz w:val="12"/>
              </w:rPr>
            </w:pPr>
            <w:r>
              <w:rPr>
                <w:w w:val="105"/>
              </w:rPr>
              <w:t>Optional</w:t>
            </w:r>
            <w:r>
              <w:rPr>
                <w:rStyle w:val="FootnoteReference"/>
                <w:rFonts w:ascii="Open Sans SemiBold"/>
                <w:b/>
                <w:color w:val="003399"/>
                <w:spacing w:val="-2"/>
                <w:w w:val="105"/>
                <w:sz w:val="20"/>
              </w:rPr>
              <w:footnoteReference w:id="15"/>
            </w:r>
          </w:p>
        </w:tc>
        <w:tc>
          <w:tcPr>
            <w:tcW w:w="3531" w:type="dxa"/>
            <w:tcBorders>
              <w:top w:val="single" w:sz="12" w:space="0" w:color="003399"/>
              <w:left w:val="single" w:sz="12" w:space="0" w:color="003399"/>
              <w:bottom w:val="single" w:sz="12" w:space="0" w:color="003399"/>
              <w:right w:val="single" w:sz="12" w:space="0" w:color="003399"/>
            </w:tcBorders>
            <w:vAlign w:val="center"/>
          </w:tcPr>
          <w:p w14:paraId="70230A8B" w14:textId="77777777" w:rsidR="00622B72" w:rsidRPr="00334263" w:rsidRDefault="00622B72" w:rsidP="003C58C0">
            <w:pPr>
              <w:pStyle w:val="TableParagraph"/>
              <w:spacing w:line="360" w:lineRule="auto"/>
              <w:rPr>
                <w:w w:val="105"/>
              </w:rPr>
            </w:pPr>
            <w:r w:rsidRPr="006F2335">
              <w:rPr>
                <w:w w:val="105"/>
              </w:rPr>
              <w:t>Cultural and tourism sites supported</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0B587BA6" w14:textId="77777777" w:rsidR="00622B72" w:rsidRPr="00334263" w:rsidRDefault="00622B72" w:rsidP="003C58C0">
            <w:pPr>
              <w:pStyle w:val="TableParagraph"/>
              <w:spacing w:line="360" w:lineRule="auto"/>
              <w:rPr>
                <w:w w:val="105"/>
              </w:rPr>
            </w:pPr>
            <w:r w:rsidRPr="006F2335">
              <w:rPr>
                <w:w w:val="105"/>
              </w:rPr>
              <w:t>Visitors of cultural and tourism sites supported</w:t>
            </w:r>
          </w:p>
        </w:tc>
      </w:tr>
      <w:tr w:rsidR="00622B72" w:rsidRPr="00805C22" w14:paraId="271563EA" w14:textId="77777777" w:rsidTr="00622B72">
        <w:trPr>
          <w:trHeight w:val="874"/>
        </w:trPr>
        <w:tc>
          <w:tcPr>
            <w:tcW w:w="1584" w:type="dxa"/>
            <w:vMerge/>
            <w:tcBorders>
              <w:top w:val="nil"/>
              <w:left w:val="single" w:sz="12" w:space="0" w:color="003399"/>
              <w:bottom w:val="single" w:sz="12" w:space="0" w:color="003399"/>
              <w:right w:val="single" w:sz="12" w:space="0" w:color="003399"/>
            </w:tcBorders>
            <w:vAlign w:val="center"/>
          </w:tcPr>
          <w:p w14:paraId="0AA31313" w14:textId="77777777" w:rsidR="00622B72" w:rsidRDefault="00622B72" w:rsidP="003C58C0">
            <w:pPr>
              <w:spacing w:line="360" w:lineRule="auto"/>
            </w:pPr>
          </w:p>
        </w:tc>
        <w:tc>
          <w:tcPr>
            <w:tcW w:w="3531" w:type="dxa"/>
            <w:tcBorders>
              <w:top w:val="single" w:sz="12" w:space="0" w:color="003399"/>
              <w:left w:val="single" w:sz="12" w:space="0" w:color="003399"/>
              <w:bottom w:val="single" w:sz="12" w:space="0" w:color="003399"/>
              <w:right w:val="single" w:sz="12" w:space="0" w:color="003399"/>
            </w:tcBorders>
            <w:vAlign w:val="center"/>
          </w:tcPr>
          <w:p w14:paraId="2D1F7C5F" w14:textId="77777777" w:rsidR="00622B72" w:rsidRPr="00334263" w:rsidRDefault="00622B72" w:rsidP="003C58C0">
            <w:pPr>
              <w:pStyle w:val="TableParagraph"/>
              <w:spacing w:line="360" w:lineRule="auto"/>
              <w:rPr>
                <w:w w:val="105"/>
              </w:rPr>
            </w:pPr>
            <w:r w:rsidRPr="00334263">
              <w:rPr>
                <w:w w:val="105"/>
              </w:rPr>
              <w:t>Pilot actions developed jointly and implemented in projects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2BF31264" w14:textId="77777777" w:rsidR="00622B72" w:rsidRPr="00334263" w:rsidRDefault="00622B72" w:rsidP="003C58C0">
            <w:pPr>
              <w:pStyle w:val="TableParagraph"/>
              <w:spacing w:line="360" w:lineRule="auto"/>
              <w:rPr>
                <w:w w:val="105"/>
              </w:rPr>
            </w:pPr>
          </w:p>
        </w:tc>
      </w:tr>
      <w:tr w:rsidR="00622B72" w:rsidRPr="00805C22" w14:paraId="10C60F34" w14:textId="77777777" w:rsidTr="00622B72">
        <w:trPr>
          <w:trHeight w:val="705"/>
        </w:trPr>
        <w:tc>
          <w:tcPr>
            <w:tcW w:w="1584" w:type="dxa"/>
            <w:vMerge/>
            <w:tcBorders>
              <w:top w:val="nil"/>
              <w:left w:val="single" w:sz="12" w:space="0" w:color="003399"/>
              <w:bottom w:val="single" w:sz="12" w:space="0" w:color="003399"/>
              <w:right w:val="single" w:sz="12" w:space="0" w:color="003399"/>
            </w:tcBorders>
            <w:vAlign w:val="center"/>
          </w:tcPr>
          <w:p w14:paraId="7AA6DCD3" w14:textId="77777777" w:rsidR="00622B72" w:rsidRDefault="00622B72" w:rsidP="003C58C0">
            <w:pPr>
              <w:spacing w:line="360" w:lineRule="auto"/>
            </w:pPr>
          </w:p>
        </w:tc>
        <w:tc>
          <w:tcPr>
            <w:tcW w:w="3531" w:type="dxa"/>
            <w:tcBorders>
              <w:top w:val="single" w:sz="12" w:space="0" w:color="003399"/>
              <w:left w:val="single" w:sz="12" w:space="0" w:color="003399"/>
              <w:bottom w:val="single" w:sz="12" w:space="0" w:color="003399"/>
              <w:right w:val="single" w:sz="12" w:space="0" w:color="003399"/>
            </w:tcBorders>
            <w:vAlign w:val="center"/>
          </w:tcPr>
          <w:p w14:paraId="6E727C2B" w14:textId="77777777" w:rsidR="00622B72" w:rsidRPr="00334263" w:rsidRDefault="00622B72" w:rsidP="003C58C0">
            <w:pPr>
              <w:pStyle w:val="TableParagraph"/>
              <w:spacing w:line="360" w:lineRule="auto"/>
              <w:rPr>
                <w:w w:val="105"/>
              </w:rPr>
            </w:pPr>
            <w:r w:rsidRPr="00334263">
              <w:rPr>
                <w:w w:val="105"/>
              </w:rPr>
              <w:t>Organisations cooperating across</w:t>
            </w:r>
            <w:r>
              <w:rPr>
                <w:w w:val="105"/>
              </w:rPr>
              <w:t xml:space="preserve"> </w:t>
            </w:r>
            <w:r w:rsidRPr="00334263">
              <w:rPr>
                <w:w w:val="105"/>
              </w:rPr>
              <w:t>borders</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39125EA7" w14:textId="77777777" w:rsidR="00622B72" w:rsidRPr="00334263" w:rsidRDefault="00622B72" w:rsidP="003C58C0">
            <w:pPr>
              <w:pStyle w:val="TableParagraph"/>
              <w:spacing w:line="360" w:lineRule="auto"/>
              <w:rPr>
                <w:w w:val="105"/>
              </w:rPr>
            </w:pPr>
            <w:r w:rsidRPr="00334263">
              <w:rPr>
                <w:w w:val="105"/>
              </w:rPr>
              <w:t>Organisations cooperating across borders after project completion</w:t>
            </w:r>
          </w:p>
        </w:tc>
      </w:tr>
    </w:tbl>
    <w:p w14:paraId="3E3DA83E" w14:textId="77777777" w:rsidR="00B90E0B" w:rsidRDefault="00B90E0B" w:rsidP="003C58C0">
      <w:pPr>
        <w:pStyle w:val="Heading2"/>
        <w:spacing w:line="360" w:lineRule="auto"/>
      </w:pPr>
      <w:bookmarkStart w:id="27" w:name="_Toc98250127"/>
      <w:bookmarkStart w:id="28" w:name="_Toc98250232"/>
    </w:p>
    <w:p w14:paraId="12871A63" w14:textId="2D3B0493" w:rsidR="00720FBB" w:rsidRPr="00D52F31" w:rsidRDefault="009548F6" w:rsidP="003C58C0">
      <w:pPr>
        <w:pStyle w:val="Heading2"/>
        <w:spacing w:line="360" w:lineRule="auto"/>
      </w:pPr>
      <w:bookmarkStart w:id="29" w:name="_Toc147242378"/>
      <w:r w:rsidRPr="00D52F31">
        <w:t xml:space="preserve">4 </w:t>
      </w:r>
      <w:r w:rsidR="0089529E">
        <w:t>PRIORITY</w:t>
      </w:r>
      <w:r w:rsidR="00720FBB" w:rsidRPr="00D52F31">
        <w:t xml:space="preserve"> 4</w:t>
      </w:r>
      <w:r w:rsidR="00AB1DAC" w:rsidRPr="00D52F31">
        <w:t xml:space="preserve"> –</w:t>
      </w:r>
      <w:r w:rsidR="00720FBB" w:rsidRPr="00D52F31">
        <w:t xml:space="preserve"> Active South Baltic </w:t>
      </w:r>
      <w:r w:rsidR="00AB1DAC" w:rsidRPr="00D52F31">
        <w:t xml:space="preserve">– </w:t>
      </w:r>
      <w:r w:rsidR="00720FBB" w:rsidRPr="00D52F31">
        <w:t>improving cooperation governance</w:t>
      </w:r>
      <w:bookmarkEnd w:id="27"/>
      <w:bookmarkEnd w:id="28"/>
      <w:bookmarkEnd w:id="29"/>
    </w:p>
    <w:p w14:paraId="6AE074F9" w14:textId="348F8560" w:rsidR="00736C10" w:rsidRPr="00AF2B0C" w:rsidRDefault="00736C10" w:rsidP="003C58C0">
      <w:pPr>
        <w:spacing w:line="360" w:lineRule="auto"/>
        <w:rPr>
          <w:rFonts w:ascii="Open Sans SemiBold" w:eastAsia="Open Sans SemiBold" w:hAnsi="Open Sans SemiBold" w:cs="Open Sans SemiBold"/>
          <w:b/>
          <w:color w:val="003399"/>
          <w:szCs w:val="24"/>
        </w:rPr>
      </w:pPr>
      <w:r w:rsidRPr="00AF2B0C">
        <w:rPr>
          <w:rFonts w:ascii="Open Sans SemiBold" w:eastAsia="Open Sans SemiBold" w:hAnsi="Open Sans SemiBold" w:cs="Open Sans SemiBold"/>
          <w:b/>
          <w:color w:val="003399"/>
          <w:szCs w:val="24"/>
        </w:rPr>
        <w:t xml:space="preserve">Programme Measure 4.1: Strengthen the cooperation capacity of actors based within the South Baltic Area (including civil society) </w:t>
      </w:r>
    </w:p>
    <w:p w14:paraId="3FF45830" w14:textId="2AB220FC" w:rsidR="00736C10" w:rsidRPr="00334263" w:rsidRDefault="00736C10" w:rsidP="003C58C0">
      <w:pPr>
        <w:spacing w:line="360" w:lineRule="auto"/>
      </w:pPr>
      <w:r w:rsidRPr="00334263">
        <w:t xml:space="preserve">This measure supports </w:t>
      </w:r>
      <w:r w:rsidR="00AB1DAC" w:rsidRPr="00334263">
        <w:t>capacity-</w:t>
      </w:r>
      <w:r w:rsidRPr="00334263">
        <w:t xml:space="preserve">building and strengthening the cross-border cooperation of different actors functioning within the </w:t>
      </w:r>
      <w:r w:rsidR="006416DF" w:rsidRPr="00334263">
        <w:t xml:space="preserve">Programme </w:t>
      </w:r>
      <w:r w:rsidRPr="00334263">
        <w:t xml:space="preserve">area (specifically ones representing the public sectors and the civil society) </w:t>
      </w:r>
      <w:r w:rsidR="00B7310E" w:rsidRPr="00334263">
        <w:t>to</w:t>
      </w:r>
      <w:r w:rsidRPr="00334263">
        <w:t xml:space="preserve"> solve common cross-border problems and build mutual reliance in the areas of administration, regional </w:t>
      </w:r>
      <w:r w:rsidR="00FB7855" w:rsidRPr="00334263">
        <w:t>development,</w:t>
      </w:r>
      <w:r w:rsidRPr="00334263">
        <w:t xml:space="preserve"> and cross-border mobility. </w:t>
      </w:r>
    </w:p>
    <w:p w14:paraId="1BE7FA4A" w14:textId="0E3B8622" w:rsidR="00736C10" w:rsidRPr="00334263" w:rsidRDefault="00736C10" w:rsidP="003C58C0">
      <w:pPr>
        <w:spacing w:line="360" w:lineRule="auto"/>
      </w:pPr>
      <w:r w:rsidRPr="00334263">
        <w:t xml:space="preserve">Potential beneficiaries of this measure include a wide group of actors, especially local actors considered to be newcomers to cross-border cooperation, creating ample </w:t>
      </w:r>
      <w:r w:rsidR="00AB1DAC" w:rsidRPr="00334263">
        <w:t xml:space="preserve">opportunities </w:t>
      </w:r>
      <w:r w:rsidRPr="00334263">
        <w:t xml:space="preserve">for networking and developing relationships between them. </w:t>
      </w:r>
    </w:p>
    <w:p w14:paraId="789E3E73" w14:textId="0E5CE6D4" w:rsidR="00E537D8" w:rsidRDefault="00736C10" w:rsidP="003C58C0">
      <w:pPr>
        <w:spacing w:line="360" w:lineRule="auto"/>
      </w:pPr>
      <w:r w:rsidRPr="00334263">
        <w:t xml:space="preserve">The exchange of experience between NGOs, youth </w:t>
      </w:r>
      <w:r w:rsidR="006F2335" w:rsidRPr="00334263">
        <w:t>centers</w:t>
      </w:r>
      <w:r w:rsidR="00AB1DAC" w:rsidRPr="00334263">
        <w:t>,</w:t>
      </w:r>
      <w:r w:rsidRPr="00334263">
        <w:t xml:space="preserve"> etc., and building cooperation capacities are foreseen under</w:t>
      </w:r>
      <w:r w:rsidR="00AB1DAC" w:rsidRPr="00334263">
        <w:t xml:space="preserve"> the</w:t>
      </w:r>
      <w:r w:rsidRPr="00334263">
        <w:t xml:space="preserve"> implementation of a joint project. Activities are expected to develop stronger links between </w:t>
      </w:r>
      <w:r w:rsidR="006F2335" w:rsidRPr="00334263">
        <w:t>civil</w:t>
      </w:r>
      <w:r w:rsidRPr="00334263">
        <w:t xml:space="preserve"> society and public entities, through encouraging bottom-up participation in decision and policymaking.</w:t>
      </w:r>
    </w:p>
    <w:p w14:paraId="2D61E7BE" w14:textId="193DF2F4" w:rsidR="00736C10" w:rsidRPr="00334263" w:rsidRDefault="00736C10" w:rsidP="003C58C0">
      <w:pPr>
        <w:spacing w:line="360" w:lineRule="auto"/>
      </w:pPr>
      <w:r w:rsidRPr="00334263">
        <w:t>The Measure supports:</w:t>
      </w:r>
    </w:p>
    <w:p w14:paraId="19EDCBC6" w14:textId="0BBDD5A4" w:rsidR="00D2699E" w:rsidRPr="00334263" w:rsidRDefault="00736C10" w:rsidP="003C58C0">
      <w:pPr>
        <w:pStyle w:val="ListParagraph"/>
        <w:numPr>
          <w:ilvl w:val="0"/>
          <w:numId w:val="47"/>
        </w:numPr>
        <w:spacing w:line="360" w:lineRule="auto"/>
      </w:pPr>
      <w:r w:rsidRPr="00334263">
        <w:lastRenderedPageBreak/>
        <w:t xml:space="preserve">Overcoming obstacles </w:t>
      </w:r>
      <w:r w:rsidR="007636CB" w:rsidRPr="00334263">
        <w:t xml:space="preserve">to </w:t>
      </w:r>
      <w:r w:rsidRPr="00334263">
        <w:t>cross-border cooperation to ensure that the benefits of cooperation are made available to diverse groups.</w:t>
      </w:r>
    </w:p>
    <w:p w14:paraId="276BA2ED" w14:textId="497C723D" w:rsidR="00D2699E" w:rsidRPr="00334263" w:rsidRDefault="00736C10" w:rsidP="003C58C0">
      <w:pPr>
        <w:pStyle w:val="ListParagraph"/>
        <w:numPr>
          <w:ilvl w:val="0"/>
          <w:numId w:val="47"/>
        </w:numPr>
        <w:spacing w:line="360" w:lineRule="auto"/>
      </w:pPr>
      <w:r w:rsidRPr="00334263">
        <w:t>Strengthen</w:t>
      </w:r>
      <w:r w:rsidR="007636CB" w:rsidRPr="00334263">
        <w:t>ing</w:t>
      </w:r>
      <w:r w:rsidRPr="00334263">
        <w:t xml:space="preserve"> cross-border cooperation, networking and developing relationships with local actors, and boost</w:t>
      </w:r>
      <w:r w:rsidR="007636CB" w:rsidRPr="00334263">
        <w:t>ing</w:t>
      </w:r>
      <w:r w:rsidRPr="00334263">
        <w:t xml:space="preserve"> cross-border collaboration. </w:t>
      </w:r>
    </w:p>
    <w:p w14:paraId="66E1C4F6" w14:textId="59D3B4AF" w:rsidR="00736C10" w:rsidRPr="00334263" w:rsidRDefault="00736C10" w:rsidP="003C58C0">
      <w:pPr>
        <w:pStyle w:val="ListParagraph"/>
        <w:numPr>
          <w:ilvl w:val="0"/>
          <w:numId w:val="47"/>
        </w:numPr>
        <w:spacing w:line="360" w:lineRule="auto"/>
      </w:pPr>
      <w:r w:rsidRPr="00334263">
        <w:t>Influenc</w:t>
      </w:r>
      <w:r w:rsidR="007636CB" w:rsidRPr="00334263">
        <w:t>ing</w:t>
      </w:r>
      <w:r w:rsidRPr="00334263">
        <w:t xml:space="preserve"> the </w:t>
      </w:r>
      <w:r w:rsidR="007636CB" w:rsidRPr="00334263">
        <w:t>capacity-</w:t>
      </w:r>
      <w:r w:rsidRPr="00334263">
        <w:t>building of the actors to strengthen the confidence among participating stakeholders.</w:t>
      </w:r>
    </w:p>
    <w:p w14:paraId="7E4DF7A4" w14:textId="77777777" w:rsidR="00736C10" w:rsidRPr="00334263" w:rsidRDefault="00736C10" w:rsidP="003C58C0">
      <w:pPr>
        <w:spacing w:line="360" w:lineRule="auto"/>
      </w:pPr>
      <w:r w:rsidRPr="00334263">
        <w:t>The indicative list of cross-border activities includes:</w:t>
      </w:r>
    </w:p>
    <w:p w14:paraId="0D35554B" w14:textId="2F9A5F72" w:rsidR="00D2699E" w:rsidRPr="00334263" w:rsidRDefault="00736C10" w:rsidP="003C58C0">
      <w:pPr>
        <w:pStyle w:val="ListParagraph"/>
        <w:numPr>
          <w:ilvl w:val="0"/>
          <w:numId w:val="48"/>
        </w:numPr>
        <w:spacing w:line="360" w:lineRule="auto"/>
      </w:pPr>
      <w:r w:rsidRPr="00334263">
        <w:t>Delivery of initiatives (programmes, trainings, workshops</w:t>
      </w:r>
      <w:r w:rsidR="007636CB" w:rsidRPr="00334263">
        <w:t>,</w:t>
      </w:r>
      <w:r w:rsidRPr="00334263">
        <w:t xml:space="preserve"> etc.), aimed at strengthening the networking and cooperation capacity of local actors</w:t>
      </w:r>
      <w:r w:rsidR="008B5F28">
        <w:t>.</w:t>
      </w:r>
    </w:p>
    <w:p w14:paraId="1F47E802" w14:textId="77777777" w:rsidR="00D2699E" w:rsidRPr="00334263" w:rsidRDefault="00736C10" w:rsidP="003C58C0">
      <w:pPr>
        <w:pStyle w:val="ListParagraph"/>
        <w:numPr>
          <w:ilvl w:val="0"/>
          <w:numId w:val="48"/>
        </w:numPr>
        <w:spacing w:line="360" w:lineRule="auto"/>
      </w:pPr>
      <w:r w:rsidRPr="00334263">
        <w:t>Activities supporting:</w:t>
      </w:r>
    </w:p>
    <w:p w14:paraId="09388D3C" w14:textId="70957399" w:rsidR="00D2699E" w:rsidRPr="00334263" w:rsidRDefault="00736C10" w:rsidP="003C58C0">
      <w:pPr>
        <w:pStyle w:val="ListParagraph"/>
        <w:numPr>
          <w:ilvl w:val="0"/>
          <w:numId w:val="4"/>
        </w:numPr>
        <w:spacing w:line="360" w:lineRule="auto"/>
      </w:pPr>
      <w:r w:rsidRPr="00334263">
        <w:t>joint local self-government administration/agencies and other institutions (e.g., NGOs) building multi-level governance and supporting cross-border dialogue</w:t>
      </w:r>
      <w:r w:rsidR="001A66C2">
        <w:t>.</w:t>
      </w:r>
    </w:p>
    <w:p w14:paraId="0ADF06B7" w14:textId="27BCEC37" w:rsidR="00D2699E" w:rsidRPr="00334263" w:rsidRDefault="00736C10" w:rsidP="003C58C0">
      <w:pPr>
        <w:pStyle w:val="ListParagraph"/>
        <w:numPr>
          <w:ilvl w:val="0"/>
          <w:numId w:val="4"/>
        </w:numPr>
        <w:spacing w:line="360" w:lineRule="auto"/>
      </w:pPr>
      <w:r w:rsidRPr="00334263">
        <w:t>development of stronger links between citizens and institutions at a cross-border level</w:t>
      </w:r>
      <w:r w:rsidR="00D9297B" w:rsidRPr="00334263">
        <w:t xml:space="preserve"> of</w:t>
      </w:r>
      <w:r w:rsidRPr="00334263">
        <w:t xml:space="preserve"> civil society and bottom-up involvement in decision- and policymaking</w:t>
      </w:r>
      <w:r w:rsidR="004E67A6" w:rsidRPr="00334263">
        <w:t xml:space="preserve"> e.g.</w:t>
      </w:r>
      <w:r w:rsidR="0099734C" w:rsidRPr="00334263">
        <w:t>,</w:t>
      </w:r>
      <w:r w:rsidR="004E67A6" w:rsidRPr="00334263">
        <w:t xml:space="preserve"> in the field of cooperation on marine pollution or cooperation between youth secretariats</w:t>
      </w:r>
      <w:r w:rsidR="001A66C2">
        <w:t>.</w:t>
      </w:r>
    </w:p>
    <w:p w14:paraId="75F06235" w14:textId="1045B2D6" w:rsidR="00D2699E" w:rsidRPr="00334263" w:rsidRDefault="00736C10" w:rsidP="003C58C0">
      <w:pPr>
        <w:pStyle w:val="ListParagraph"/>
        <w:numPr>
          <w:ilvl w:val="0"/>
          <w:numId w:val="4"/>
        </w:numPr>
        <w:spacing w:line="360" w:lineRule="auto"/>
      </w:pPr>
      <w:r w:rsidRPr="00334263">
        <w:t xml:space="preserve">youth empowerment, engagement of the youth with civil society and </w:t>
      </w:r>
      <w:r w:rsidR="00185021" w:rsidRPr="00334263">
        <w:t>into civil society</w:t>
      </w:r>
      <w:r w:rsidR="00D9297B" w:rsidRPr="00334263">
        <w:t>,</w:t>
      </w:r>
      <w:r w:rsidR="00185021" w:rsidRPr="00334263">
        <w:t xml:space="preserve"> and actions </w:t>
      </w:r>
      <w:r w:rsidR="00D9297B" w:rsidRPr="00334263">
        <w:t xml:space="preserve">with a </w:t>
      </w:r>
      <w:r w:rsidR="00185021" w:rsidRPr="00334263">
        <w:t>cross-border dimension</w:t>
      </w:r>
      <w:r w:rsidR="001A66C2">
        <w:t>.</w:t>
      </w:r>
    </w:p>
    <w:p w14:paraId="0120CB31" w14:textId="6F29737C" w:rsidR="00D2699E" w:rsidRPr="00334263" w:rsidRDefault="00736C10" w:rsidP="003C58C0">
      <w:pPr>
        <w:pStyle w:val="ListParagraph"/>
        <w:numPr>
          <w:ilvl w:val="0"/>
          <w:numId w:val="4"/>
        </w:numPr>
        <w:spacing w:line="360" w:lineRule="auto"/>
      </w:pPr>
      <w:r w:rsidRPr="00334263">
        <w:t>exchange of experience in the field of social innovation among universities, high school and vocational school students as well as graduates</w:t>
      </w:r>
      <w:r w:rsidR="001A66C2">
        <w:t>.</w:t>
      </w:r>
    </w:p>
    <w:p w14:paraId="0593F4FE" w14:textId="676DF100" w:rsidR="00736C10" w:rsidRPr="00334263" w:rsidRDefault="00736C10" w:rsidP="003C58C0">
      <w:pPr>
        <w:pStyle w:val="ListParagraph"/>
        <w:numPr>
          <w:ilvl w:val="0"/>
          <w:numId w:val="4"/>
        </w:numPr>
        <w:spacing w:line="360" w:lineRule="auto"/>
      </w:pPr>
      <w:r w:rsidRPr="00334263">
        <w:t xml:space="preserve">increase </w:t>
      </w:r>
      <w:r w:rsidR="00D9297B" w:rsidRPr="00334263">
        <w:t xml:space="preserve">in </w:t>
      </w:r>
      <w:r w:rsidRPr="00334263">
        <w:t>the involvement of local actors (</w:t>
      </w:r>
      <w:r w:rsidR="003356BC" w:rsidRPr="00334263">
        <w:t>e.g.,</w:t>
      </w:r>
      <w:r w:rsidRPr="00334263">
        <w:t xml:space="preserve"> NGOs, cultural institutions, non-formali</w:t>
      </w:r>
      <w:r w:rsidR="004C3F0F" w:rsidRPr="00334263">
        <w:t>s</w:t>
      </w:r>
      <w:r w:rsidRPr="00334263">
        <w:t>ed organi</w:t>
      </w:r>
      <w:r w:rsidR="004C3F0F" w:rsidRPr="00334263">
        <w:t>s</w:t>
      </w:r>
      <w:r w:rsidRPr="00334263">
        <w:t>ations, organi</w:t>
      </w:r>
      <w:r w:rsidR="004C3F0F" w:rsidRPr="00334263">
        <w:t>s</w:t>
      </w:r>
      <w:r w:rsidRPr="00334263">
        <w:t>ations supporting people with disabilities and from vulnerable groups) in cross-border project development and intercultural dialogue</w:t>
      </w:r>
      <w:r w:rsidR="008B5F28">
        <w:t>.</w:t>
      </w:r>
    </w:p>
    <w:p w14:paraId="4622D7D1" w14:textId="01696F3D" w:rsidR="00D2699E" w:rsidRPr="00334263" w:rsidRDefault="00736C10" w:rsidP="003C58C0">
      <w:pPr>
        <w:pStyle w:val="ListParagraph"/>
        <w:numPr>
          <w:ilvl w:val="0"/>
          <w:numId w:val="48"/>
        </w:numPr>
        <w:spacing w:line="360" w:lineRule="auto"/>
      </w:pPr>
      <w:r w:rsidRPr="00334263">
        <w:lastRenderedPageBreak/>
        <w:t xml:space="preserve">Awareness-raising and promotion measures among local actor groups to increase trust, promote </w:t>
      </w:r>
      <w:r w:rsidR="00335D72" w:rsidRPr="00334263">
        <w:t xml:space="preserve">a </w:t>
      </w:r>
      <w:r w:rsidRPr="00334263">
        <w:t>cooperation culture and common identity of the actors</w:t>
      </w:r>
      <w:r w:rsidR="008B5F28">
        <w:t>.</w:t>
      </w:r>
    </w:p>
    <w:p w14:paraId="77BE0A40" w14:textId="7A270DB3" w:rsidR="00E537D8" w:rsidRDefault="00736C10" w:rsidP="003C58C0">
      <w:pPr>
        <w:pStyle w:val="ListParagraph"/>
        <w:numPr>
          <w:ilvl w:val="0"/>
          <w:numId w:val="48"/>
        </w:numPr>
        <w:spacing w:line="360" w:lineRule="auto"/>
      </w:pPr>
      <w:r w:rsidRPr="00334263">
        <w:t>Development and promotion of models, networks gathering divers</w:t>
      </w:r>
      <w:r w:rsidR="00330A8F" w:rsidRPr="00334263">
        <w:t>e</w:t>
      </w:r>
      <w:r w:rsidRPr="00334263">
        <w:t xml:space="preserve"> actors especially small institutions and those from rural and peripheral areas (e.g., research institutions, SMEs, business development organisations, universities, public entities) to improve the cooperation capacity.</w:t>
      </w:r>
    </w:p>
    <w:p w14:paraId="282DFFEB" w14:textId="19D623AD" w:rsidR="00E537D8" w:rsidRPr="00084668" w:rsidRDefault="00B25B08" w:rsidP="003C58C0">
      <w:pPr>
        <w:spacing w:line="360" w:lineRule="auto"/>
        <w:rPr>
          <w:rFonts w:eastAsia="Open Sans" w:cs="Open Sans"/>
          <w:sz w:val="8"/>
          <w:szCs w:val="8"/>
        </w:rPr>
      </w:pPr>
      <w:r>
        <w:rPr>
          <w:noProof/>
        </w:rPr>
        <mc:AlternateContent>
          <mc:Choice Requires="wps">
            <w:drawing>
              <wp:inline distT="0" distB="0" distL="0" distR="0" wp14:anchorId="47236FFA" wp14:editId="358B9247">
                <wp:extent cx="5751830" cy="2238375"/>
                <wp:effectExtent l="0" t="0" r="20320" b="28575"/>
                <wp:docPr id="184800703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2238375"/>
                        </a:xfrm>
                        <a:prstGeom prst="rect">
                          <a:avLst/>
                        </a:prstGeom>
                        <a:ln w="12700">
                          <a:solidFill>
                            <a:srgbClr val="003399"/>
                          </a:solidFill>
                          <a:prstDash val="solid"/>
                        </a:ln>
                      </wps:spPr>
                      <wps:txbx>
                        <w:txbxContent>
                          <w:p w14:paraId="2A3DC049" w14:textId="77777777" w:rsidR="00B25B08" w:rsidRPr="00AF2B0C" w:rsidRDefault="00B25B08" w:rsidP="00B25B08">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1E067A2D" w14:textId="77777777" w:rsidR="00B25B08" w:rsidRPr="00AF2B0C" w:rsidRDefault="00B25B08" w:rsidP="00B25B08">
                            <w:pPr>
                              <w:pStyle w:val="BodyText"/>
                              <w:numPr>
                                <w:ilvl w:val="0"/>
                                <w:numId w:val="81"/>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 However, the small infrastructure or equipment only of a minor, complementary nature is supported, if their contribution to the Measure’s objectives is demonstrated.</w:t>
                            </w:r>
                          </w:p>
                          <w:p w14:paraId="7989D906" w14:textId="77777777" w:rsidR="00B25B08" w:rsidRPr="00AF2B0C" w:rsidRDefault="00B25B08" w:rsidP="00B25B08">
                            <w:pPr>
                              <w:pStyle w:val="BodyText"/>
                              <w:numPr>
                                <w:ilvl w:val="0"/>
                                <w:numId w:val="81"/>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small-scale projects may be implemented under this Measure.</w:t>
                            </w:r>
                          </w:p>
                          <w:p w14:paraId="3857C2BA" w14:textId="77777777" w:rsidR="00B25B08" w:rsidRPr="00AF2B0C" w:rsidRDefault="00B25B08" w:rsidP="00B25B08">
                            <w:pPr>
                              <w:pStyle w:val="BodyText"/>
                              <w:numPr>
                                <w:ilvl w:val="0"/>
                                <w:numId w:val="81"/>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large-scale infrastructure is not possible!</w:t>
                            </w:r>
                          </w:p>
                        </w:txbxContent>
                      </wps:txbx>
                      <wps:bodyPr wrap="square" lIns="0" tIns="0" rIns="0" bIns="0" rtlCol="0">
                        <a:noAutofit/>
                      </wps:bodyPr>
                    </wps:wsp>
                  </a:graphicData>
                </a:graphic>
              </wp:inline>
            </w:drawing>
          </mc:Choice>
          <mc:Fallback>
            <w:pict>
              <v:shape w14:anchorId="47236FFA" id="_x0000_s1039" type="#_x0000_t202" style="width:452.9pt;height:17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" filled="f" strokecolor="#039" strokeweight="1pt">
                <v:path arrowok="t"/>
                <v:textbox inset="0,0,0,0">
                  <w:txbxContent>
                    <w:p w14:paraId="2A3DC049" w14:textId="77777777" w:rsidR="00B25B08" w:rsidRPr="00AF2B0C" w:rsidRDefault="00B25B08" w:rsidP="00B25B08">
                      <w:pPr>
                        <w:pStyle w:val="BodyText"/>
                        <w:rPr>
                          <w:rFonts w:ascii="Open Sans ExtraBold" w:eastAsiaTheme="minorHAnsi" w:hAnsiTheme="minorHAnsi" w:cstheme="minorBidi"/>
                          <w:b/>
                          <w:color w:val="003399"/>
                          <w:spacing w:val="-2"/>
                          <w:sz w:val="24"/>
                          <w:szCs w:val="28"/>
                          <w:lang w:eastAsia="en-US"/>
                        </w:rPr>
                      </w:pPr>
                      <w:r w:rsidRPr="00AF2B0C">
                        <w:rPr>
                          <w:rFonts w:ascii="Open Sans ExtraBold" w:eastAsiaTheme="minorHAnsi" w:hAnsiTheme="minorHAnsi" w:cstheme="minorBidi"/>
                          <w:b/>
                          <w:color w:val="003399"/>
                          <w:spacing w:val="-2"/>
                          <w:sz w:val="24"/>
                          <w:szCs w:val="28"/>
                          <w:lang w:eastAsia="en-US"/>
                        </w:rPr>
                        <w:t xml:space="preserve">Note: </w:t>
                      </w:r>
                    </w:p>
                    <w:p w14:paraId="1E067A2D" w14:textId="77777777" w:rsidR="00B25B08" w:rsidRPr="00AF2B0C" w:rsidRDefault="00B25B08" w:rsidP="00B25B08">
                      <w:pPr>
                        <w:pStyle w:val="BodyText"/>
                        <w:numPr>
                          <w:ilvl w:val="0"/>
                          <w:numId w:val="81"/>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Projects can include pilot actions with infrastructural and equipment components. However, the small infrastructure or equipment only of a minor, complementary nature is supported, if their contribution to the Measure’s objectives is demonstrated.</w:t>
                      </w:r>
                    </w:p>
                    <w:p w14:paraId="7989D906" w14:textId="77777777" w:rsidR="00B25B08" w:rsidRPr="00AF2B0C" w:rsidRDefault="00B25B08" w:rsidP="00B25B08">
                      <w:pPr>
                        <w:pStyle w:val="BodyText"/>
                        <w:numPr>
                          <w:ilvl w:val="0"/>
                          <w:numId w:val="81"/>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Both regular and small-scale projects may be implemented under this Measure.</w:t>
                      </w:r>
                    </w:p>
                    <w:p w14:paraId="3857C2BA" w14:textId="77777777" w:rsidR="00B25B08" w:rsidRPr="00AF2B0C" w:rsidRDefault="00B25B08" w:rsidP="00B25B08">
                      <w:pPr>
                        <w:pStyle w:val="BodyText"/>
                        <w:numPr>
                          <w:ilvl w:val="0"/>
                          <w:numId w:val="81"/>
                        </w:numPr>
                        <w:rPr>
                          <w:rFonts w:ascii="Open Sans" w:eastAsiaTheme="minorHAnsi" w:hAnsi="Open Sans" w:cstheme="minorBidi"/>
                          <w:color w:val="auto"/>
                          <w:sz w:val="24"/>
                          <w:szCs w:val="22"/>
                          <w:lang w:eastAsia="en-US"/>
                        </w:rPr>
                      </w:pPr>
                      <w:r w:rsidRPr="00AF2B0C">
                        <w:rPr>
                          <w:rFonts w:ascii="Open Sans" w:eastAsiaTheme="minorHAnsi" w:hAnsi="Open Sans" w:cstheme="minorBidi"/>
                          <w:color w:val="auto"/>
                          <w:sz w:val="24"/>
                          <w:szCs w:val="22"/>
                          <w:lang w:eastAsia="en-US"/>
                        </w:rPr>
                        <w:t>Implementation of large-scale infrastructure is not possible!</w:t>
                      </w:r>
                    </w:p>
                  </w:txbxContent>
                </v:textbox>
                <w10:anchorlock/>
              </v:shape>
            </w:pict>
          </mc:Fallback>
        </mc:AlternateContent>
      </w:r>
    </w:p>
    <w:tbl>
      <w:tblPr>
        <w:tblStyle w:val="TableNormal1"/>
        <w:tblpPr w:leftFromText="180" w:rightFromText="180" w:vertAnchor="text" w:horzAnchor="margin" w:tblpY="301"/>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Indicators for Measure 4.1"/>
        <w:tblDescription w:val="Output indicators&#10;Obligatory output indicators&#10;• Organisations cooperating across border &#10;Optional output indicators (Projects shall select and contribute to other Programme indicators according to the focus and activities of the project)&#10;• Participations in joint actions across borders&#10;Result indicators&#10;Obligatory result indicators&#10;• Participations in joint actions across borders&#10;Optional result indicators&#10;• Participations in joint actions across borders after project completion"/>
      </w:tblPr>
      <w:tblGrid>
        <w:gridCol w:w="1569"/>
        <w:gridCol w:w="3546"/>
        <w:gridCol w:w="3960"/>
      </w:tblGrid>
      <w:tr w:rsidR="00E537D8" w14:paraId="79ACEAD8" w14:textId="77777777" w:rsidTr="00E537D8">
        <w:trPr>
          <w:trHeight w:val="337"/>
        </w:trPr>
        <w:tc>
          <w:tcPr>
            <w:tcW w:w="1569" w:type="dxa"/>
            <w:tcBorders>
              <w:left w:val="single" w:sz="12" w:space="0" w:color="003399"/>
              <w:bottom w:val="single" w:sz="12" w:space="0" w:color="003399"/>
              <w:right w:val="single" w:sz="12" w:space="0" w:color="003399"/>
            </w:tcBorders>
          </w:tcPr>
          <w:p w14:paraId="1D9603F3" w14:textId="77777777" w:rsidR="00E537D8" w:rsidRPr="004B180C" w:rsidRDefault="00E537D8" w:rsidP="003C58C0">
            <w:pPr>
              <w:pStyle w:val="TableParagraph"/>
              <w:spacing w:line="360" w:lineRule="auto"/>
            </w:pPr>
          </w:p>
        </w:tc>
        <w:tc>
          <w:tcPr>
            <w:tcW w:w="3546" w:type="dxa"/>
            <w:tcBorders>
              <w:left w:val="single" w:sz="12" w:space="0" w:color="003399"/>
              <w:bottom w:val="single" w:sz="12" w:space="0" w:color="003399"/>
              <w:right w:val="single" w:sz="12" w:space="0" w:color="003399"/>
            </w:tcBorders>
          </w:tcPr>
          <w:p w14:paraId="1F22508E" w14:textId="77777777" w:rsidR="00E537D8" w:rsidRPr="004B180C" w:rsidRDefault="00E537D8" w:rsidP="003C58C0">
            <w:pPr>
              <w:pStyle w:val="TableParagraph"/>
              <w:spacing w:line="360" w:lineRule="auto"/>
            </w:pPr>
            <w:r w:rsidRPr="004B180C">
              <w:t>Output</w:t>
            </w:r>
            <w:r w:rsidRPr="004B180C">
              <w:rPr>
                <w:spacing w:val="16"/>
              </w:rPr>
              <w:t xml:space="preserve"> </w:t>
            </w:r>
            <w:r w:rsidRPr="004B180C">
              <w:t>indicators</w:t>
            </w:r>
          </w:p>
        </w:tc>
        <w:tc>
          <w:tcPr>
            <w:tcW w:w="3960" w:type="dxa"/>
            <w:tcBorders>
              <w:left w:val="single" w:sz="12" w:space="0" w:color="003399"/>
              <w:bottom w:val="single" w:sz="12" w:space="0" w:color="003399"/>
              <w:right w:val="single" w:sz="12" w:space="0" w:color="003399"/>
            </w:tcBorders>
          </w:tcPr>
          <w:p w14:paraId="027911CF" w14:textId="77777777" w:rsidR="00E537D8" w:rsidRPr="004B180C" w:rsidRDefault="00E537D8" w:rsidP="003C58C0">
            <w:pPr>
              <w:pStyle w:val="TableParagraph"/>
              <w:spacing w:line="360" w:lineRule="auto"/>
            </w:pPr>
            <w:r w:rsidRPr="004B180C">
              <w:t>Results</w:t>
            </w:r>
            <w:r w:rsidRPr="004B180C">
              <w:rPr>
                <w:spacing w:val="21"/>
              </w:rPr>
              <w:t xml:space="preserve"> </w:t>
            </w:r>
            <w:r w:rsidRPr="004B180C">
              <w:t>indicators</w:t>
            </w:r>
          </w:p>
        </w:tc>
      </w:tr>
      <w:tr w:rsidR="00E537D8" w:rsidRPr="00805C22" w14:paraId="52D254C6" w14:textId="77777777" w:rsidTr="00E537D8">
        <w:trPr>
          <w:trHeight w:val="1102"/>
        </w:trPr>
        <w:tc>
          <w:tcPr>
            <w:tcW w:w="1569" w:type="dxa"/>
            <w:tcBorders>
              <w:top w:val="single" w:sz="12" w:space="0" w:color="003399"/>
              <w:left w:val="single" w:sz="12" w:space="0" w:color="003399"/>
              <w:bottom w:val="single" w:sz="12" w:space="0" w:color="003399"/>
              <w:right w:val="single" w:sz="12" w:space="0" w:color="003399"/>
            </w:tcBorders>
            <w:vAlign w:val="center"/>
          </w:tcPr>
          <w:p w14:paraId="79BA4698" w14:textId="77777777" w:rsidR="00E537D8" w:rsidRPr="004B180C" w:rsidRDefault="00E537D8" w:rsidP="003C58C0">
            <w:pPr>
              <w:pStyle w:val="TableParagraph"/>
              <w:spacing w:line="360" w:lineRule="auto"/>
            </w:pPr>
            <w:r w:rsidRPr="004B180C">
              <w:rPr>
                <w:w w:val="105"/>
              </w:rPr>
              <w:t>Obligatory</w:t>
            </w:r>
          </w:p>
        </w:tc>
        <w:tc>
          <w:tcPr>
            <w:tcW w:w="3546" w:type="dxa"/>
            <w:tcBorders>
              <w:top w:val="single" w:sz="12" w:space="0" w:color="003399"/>
              <w:left w:val="single" w:sz="12" w:space="0" w:color="003399"/>
              <w:bottom w:val="single" w:sz="12" w:space="0" w:color="003399"/>
              <w:right w:val="single" w:sz="12" w:space="0" w:color="003399"/>
            </w:tcBorders>
            <w:vAlign w:val="center"/>
          </w:tcPr>
          <w:p w14:paraId="7A333C29" w14:textId="58FAFA29" w:rsidR="00E537D8" w:rsidRPr="004B180C" w:rsidRDefault="00E537D8" w:rsidP="003C58C0">
            <w:pPr>
              <w:pStyle w:val="TableParagraph"/>
              <w:spacing w:line="360" w:lineRule="auto"/>
              <w:rPr>
                <w:w w:val="105"/>
              </w:rPr>
            </w:pPr>
            <w:r w:rsidRPr="004B180C">
              <w:rPr>
                <w:w w:val="105"/>
              </w:rPr>
              <w:t>Organisations cooperating across border</w:t>
            </w:r>
          </w:p>
        </w:tc>
        <w:tc>
          <w:tcPr>
            <w:tcW w:w="3960" w:type="dxa"/>
            <w:tcBorders>
              <w:top w:val="single" w:sz="12" w:space="0" w:color="003399"/>
              <w:left w:val="single" w:sz="12" w:space="0" w:color="003399"/>
              <w:bottom w:val="single" w:sz="12" w:space="0" w:color="003399"/>
              <w:right w:val="single" w:sz="12" w:space="0" w:color="003399"/>
            </w:tcBorders>
            <w:vAlign w:val="center"/>
          </w:tcPr>
          <w:p w14:paraId="1A97F658" w14:textId="77777777" w:rsidR="00E537D8" w:rsidRPr="004B180C" w:rsidRDefault="00E537D8" w:rsidP="003C58C0">
            <w:pPr>
              <w:pStyle w:val="TableParagraph"/>
              <w:spacing w:line="360" w:lineRule="auto"/>
              <w:rPr>
                <w:w w:val="105"/>
              </w:rPr>
            </w:pPr>
            <w:r w:rsidRPr="004B180C">
              <w:rPr>
                <w:w w:val="105"/>
              </w:rPr>
              <w:t>Organisations cooperating across borders after project completion</w:t>
            </w:r>
          </w:p>
        </w:tc>
      </w:tr>
      <w:tr w:rsidR="00E537D8" w:rsidRPr="00805C22" w14:paraId="1BA9A7F9" w14:textId="77777777" w:rsidTr="00E537D8">
        <w:trPr>
          <w:trHeight w:val="1052"/>
        </w:trPr>
        <w:tc>
          <w:tcPr>
            <w:tcW w:w="1569" w:type="dxa"/>
            <w:tcBorders>
              <w:top w:val="single" w:sz="12" w:space="0" w:color="003399"/>
              <w:left w:val="single" w:sz="12" w:space="0" w:color="003399"/>
              <w:right w:val="single" w:sz="12" w:space="0" w:color="003399"/>
            </w:tcBorders>
            <w:vAlign w:val="center"/>
          </w:tcPr>
          <w:p w14:paraId="6A0B22B8" w14:textId="77777777" w:rsidR="00E537D8" w:rsidRPr="004B180C" w:rsidRDefault="00E537D8" w:rsidP="003C58C0">
            <w:pPr>
              <w:pStyle w:val="TableParagraph"/>
              <w:spacing w:line="360" w:lineRule="auto"/>
              <w:rPr>
                <w:sz w:val="12"/>
              </w:rPr>
            </w:pPr>
            <w:r w:rsidRPr="004B180C">
              <w:rPr>
                <w:w w:val="105"/>
              </w:rPr>
              <w:t>Optional</w:t>
            </w:r>
            <w:r w:rsidRPr="004B180C">
              <w:rPr>
                <w:rStyle w:val="FootnoteReference"/>
                <w:rFonts w:ascii="Open Sans SemiBold"/>
                <w:b/>
                <w:color w:val="003399"/>
                <w:spacing w:val="-2"/>
                <w:w w:val="105"/>
                <w:sz w:val="20"/>
              </w:rPr>
              <w:footnoteReference w:id="16"/>
            </w:r>
          </w:p>
        </w:tc>
        <w:tc>
          <w:tcPr>
            <w:tcW w:w="3546" w:type="dxa"/>
            <w:tcBorders>
              <w:top w:val="single" w:sz="12" w:space="0" w:color="003399"/>
              <w:left w:val="single" w:sz="12" w:space="0" w:color="003399"/>
              <w:right w:val="single" w:sz="12" w:space="0" w:color="003399"/>
            </w:tcBorders>
            <w:vAlign w:val="center"/>
          </w:tcPr>
          <w:p w14:paraId="483FD12C" w14:textId="77777777" w:rsidR="00E537D8" w:rsidRPr="004B180C" w:rsidRDefault="00E537D8" w:rsidP="003C58C0">
            <w:pPr>
              <w:pStyle w:val="TableParagraph"/>
              <w:spacing w:line="360" w:lineRule="auto"/>
              <w:rPr>
                <w:w w:val="105"/>
              </w:rPr>
            </w:pPr>
            <w:r w:rsidRPr="004B180C">
              <w:rPr>
                <w:w w:val="105"/>
              </w:rPr>
              <w:t>Participations in joint actions across borders</w:t>
            </w:r>
          </w:p>
        </w:tc>
        <w:tc>
          <w:tcPr>
            <w:tcW w:w="3960" w:type="dxa"/>
            <w:tcBorders>
              <w:top w:val="single" w:sz="12" w:space="0" w:color="003399"/>
              <w:left w:val="single" w:sz="12" w:space="0" w:color="003399"/>
              <w:right w:val="single" w:sz="12" w:space="0" w:color="003399"/>
            </w:tcBorders>
            <w:vAlign w:val="center"/>
          </w:tcPr>
          <w:p w14:paraId="53486724" w14:textId="77777777" w:rsidR="00E537D8" w:rsidRPr="004B180C" w:rsidRDefault="00E537D8" w:rsidP="003C58C0">
            <w:pPr>
              <w:pStyle w:val="TableParagraph"/>
              <w:spacing w:line="360" w:lineRule="auto"/>
              <w:rPr>
                <w:w w:val="105"/>
              </w:rPr>
            </w:pPr>
            <w:r w:rsidRPr="004B180C">
              <w:rPr>
                <w:w w:val="105"/>
              </w:rPr>
              <w:t>Participations in joint actions across borders after project completion</w:t>
            </w:r>
          </w:p>
        </w:tc>
      </w:tr>
    </w:tbl>
    <w:p w14:paraId="694939E1" w14:textId="6AA54943" w:rsidR="009C1E8B" w:rsidRPr="00C412C8" w:rsidRDefault="009C1E8B" w:rsidP="003C58C0">
      <w:pPr>
        <w:pStyle w:val="Heading1"/>
        <w:spacing w:line="360" w:lineRule="auto"/>
      </w:pPr>
      <w:bookmarkStart w:id="30" w:name="_Toc147242379"/>
      <w:r w:rsidRPr="00C412C8">
        <w:lastRenderedPageBreak/>
        <w:t>III SPECIFIC FEATURES OF THE SOUTH BALTIC PROJECTS</w:t>
      </w:r>
      <w:bookmarkEnd w:id="30"/>
    </w:p>
    <w:p w14:paraId="5C053D6B" w14:textId="78234EC7" w:rsidR="00FB6B61" w:rsidRPr="008E4DB3" w:rsidRDefault="00FB6B61" w:rsidP="003C58C0">
      <w:pPr>
        <w:pStyle w:val="Heading2"/>
        <w:spacing w:line="360" w:lineRule="auto"/>
      </w:pPr>
      <w:bookmarkStart w:id="31" w:name="_Toc147242380"/>
      <w:r w:rsidRPr="008E4DB3">
        <w:t>1 PROJECT PHASES AND PROJECT TYPES</w:t>
      </w:r>
      <w:bookmarkEnd w:id="31"/>
      <w:r w:rsidRPr="008E4DB3">
        <w:t xml:space="preserve"> </w:t>
      </w:r>
    </w:p>
    <w:p w14:paraId="4DB0B1EF" w14:textId="7FEC65AD" w:rsidR="00F43A3C" w:rsidRPr="00C223C5" w:rsidRDefault="00F43A3C" w:rsidP="003C58C0">
      <w:pPr>
        <w:pStyle w:val="Heading3"/>
        <w:spacing w:line="360" w:lineRule="auto"/>
      </w:pPr>
      <w:bookmarkStart w:id="32" w:name="_Toc147242381"/>
      <w:r w:rsidRPr="00C223C5">
        <w:t>1.1 Project phases</w:t>
      </w:r>
      <w:bookmarkEnd w:id="32"/>
    </w:p>
    <w:p w14:paraId="56B4B140" w14:textId="58E15D20" w:rsidR="008E4DB3" w:rsidRDefault="009409E6" w:rsidP="003C58C0">
      <w:pPr>
        <w:spacing w:line="360" w:lineRule="auto"/>
      </w:pPr>
      <w:r w:rsidRPr="008E4DB3">
        <w:t xml:space="preserve">Each </w:t>
      </w:r>
      <w:r w:rsidR="007447C7" w:rsidRPr="008E4DB3">
        <w:t xml:space="preserve">project in the South Baltic Programme can generally be divided into three main phases: preparation, implementation, and closure. </w:t>
      </w:r>
      <w:r w:rsidR="0076657A" w:rsidRPr="008E4DB3">
        <w:t xml:space="preserve">Each phase has </w:t>
      </w:r>
      <w:r w:rsidR="00295E28" w:rsidRPr="008E4DB3">
        <w:t>a</w:t>
      </w:r>
      <w:r w:rsidR="0076657A" w:rsidRPr="008E4DB3">
        <w:t xml:space="preserve"> predefined end, and </w:t>
      </w:r>
      <w:r w:rsidR="004E7C80" w:rsidRPr="008E4DB3">
        <w:t xml:space="preserve">a </w:t>
      </w:r>
      <w:r w:rsidR="009F1041" w:rsidRPr="008E4DB3">
        <w:t>specific result</w:t>
      </w:r>
      <w:r w:rsidR="00295E28" w:rsidRPr="008E4DB3">
        <w:t xml:space="preserve"> that </w:t>
      </w:r>
      <w:r w:rsidR="009F1041" w:rsidRPr="008E4DB3">
        <w:t>is</w:t>
      </w:r>
      <w:r w:rsidR="00295E28" w:rsidRPr="008E4DB3">
        <w:t xml:space="preserve"> expected to be developed and delivered </w:t>
      </w:r>
      <w:r w:rsidR="005A43C0" w:rsidRPr="008E4DB3">
        <w:t xml:space="preserve">at </w:t>
      </w:r>
      <w:r w:rsidR="004E7C80" w:rsidRPr="008E4DB3">
        <w:t>the end</w:t>
      </w:r>
      <w:r w:rsidR="00295E28" w:rsidRPr="008E4DB3">
        <w:t xml:space="preserve"> of each respective phas</w:t>
      </w:r>
      <w:r w:rsidR="00061A31">
        <w:t>e.</w:t>
      </w:r>
    </w:p>
    <w:p w14:paraId="0983D513" w14:textId="77777777" w:rsidR="007C5153" w:rsidRDefault="007C5153" w:rsidP="003C58C0">
      <w:pPr>
        <w:spacing w:line="360" w:lineRule="auto"/>
      </w:pPr>
      <w:r w:rsidRPr="007C5153">
        <w:t xml:space="preserve">Preparation phase </w:t>
      </w:r>
      <w:r w:rsidRPr="008E4DB3">
        <w:t>(before the end of the call for proposals)</w:t>
      </w:r>
    </w:p>
    <w:p w14:paraId="595B0075" w14:textId="77777777" w:rsidR="007C5153" w:rsidRPr="007C5153" w:rsidRDefault="007C5153" w:rsidP="003C58C0">
      <w:pPr>
        <w:spacing w:line="360" w:lineRule="auto"/>
      </w:pPr>
      <w:r w:rsidRPr="008E4DB3">
        <w:t>Implementation</w:t>
      </w:r>
      <w:r>
        <w:t xml:space="preserve"> </w:t>
      </w:r>
      <w:r w:rsidRPr="008E4DB3">
        <w:t xml:space="preserve">phase </w:t>
      </w:r>
      <w:r w:rsidRPr="007C5153">
        <w:t>(up to 36 months)</w:t>
      </w:r>
    </w:p>
    <w:p w14:paraId="5F654FD1" w14:textId="1BBAA740" w:rsidR="007C5153" w:rsidRPr="008E4DB3" w:rsidRDefault="007C5153" w:rsidP="003C58C0">
      <w:pPr>
        <w:spacing w:line="360" w:lineRule="auto"/>
      </w:pPr>
      <w:r w:rsidRPr="008E4DB3">
        <w:t xml:space="preserve">Closure phase </w:t>
      </w:r>
      <w:r w:rsidRPr="007C5153">
        <w:t>(</w:t>
      </w:r>
      <w:r w:rsidRPr="008E4DB3">
        <w:t>up to 120 days for final report</w:t>
      </w:r>
      <w:r>
        <w:t>)</w:t>
      </w:r>
    </w:p>
    <w:p w14:paraId="74420E50" w14:textId="5BFE3B56" w:rsidR="007447C7" w:rsidRPr="008E4DB3" w:rsidRDefault="0076657A" w:rsidP="003C58C0">
      <w:pPr>
        <w:spacing w:line="360" w:lineRule="auto"/>
      </w:pPr>
      <w:r w:rsidRPr="00C31845">
        <w:rPr>
          <w:rFonts w:ascii="Open Sans SemiBold" w:eastAsia="Open Sans SemiBold" w:hAnsi="Open Sans SemiBold" w:cs="Open Sans SemiBold"/>
          <w:bCs/>
          <w:color w:val="003399"/>
        </w:rPr>
        <w:t>Preparation phase</w:t>
      </w:r>
      <w:r w:rsidRPr="00C31845">
        <w:rPr>
          <w:sz w:val="18"/>
          <w:szCs w:val="18"/>
        </w:rPr>
        <w:t xml:space="preserve"> </w:t>
      </w:r>
      <w:r w:rsidRPr="008E4DB3">
        <w:t xml:space="preserve">– </w:t>
      </w:r>
      <w:r w:rsidR="007447C7" w:rsidRPr="008E4DB3">
        <w:t xml:space="preserve">covers the process of project </w:t>
      </w:r>
      <w:r w:rsidR="009F1041" w:rsidRPr="008E4DB3">
        <w:t xml:space="preserve">proposal </w:t>
      </w:r>
      <w:r w:rsidR="007447C7" w:rsidRPr="008E4DB3">
        <w:t xml:space="preserve">development and submission of the Application </w:t>
      </w:r>
      <w:r w:rsidR="004029AC" w:rsidRPr="008E4DB3">
        <w:t>Form and</w:t>
      </w:r>
      <w:r w:rsidR="007447C7" w:rsidRPr="008E4DB3">
        <w:t xml:space="preserve"> ends on the last day of the call for proposals to which the developed Application Form was submitted. </w:t>
      </w:r>
    </w:p>
    <w:p w14:paraId="15C66B43" w14:textId="5C0AE81E" w:rsidR="00185984" w:rsidRPr="00B90E0B" w:rsidRDefault="0076657A" w:rsidP="003C58C0">
      <w:pPr>
        <w:spacing w:line="360" w:lineRule="auto"/>
      </w:pPr>
      <w:r w:rsidRPr="008E4DB3">
        <w:t xml:space="preserve">It should be </w:t>
      </w:r>
      <w:r w:rsidR="00295E28" w:rsidRPr="008E4DB3">
        <w:t>noted</w:t>
      </w:r>
      <w:r w:rsidRPr="008E4DB3">
        <w:t xml:space="preserve"> that project partners are granted an opportunity to reimburse costs related to the development of the project proposal</w:t>
      </w:r>
      <w:r w:rsidR="00E95140" w:rsidRPr="008E4DB3">
        <w:t>.</w:t>
      </w:r>
      <w:r w:rsidR="00BF2D4B" w:rsidRPr="008E4DB3">
        <w:t xml:space="preserve"> </w:t>
      </w:r>
      <w:r w:rsidR="00DF09DB" w:rsidRPr="008E4DB3">
        <w:t xml:space="preserve">The only way to cover preparation costs is </w:t>
      </w:r>
      <w:r w:rsidR="005A43C0" w:rsidRPr="008E4DB3">
        <w:t xml:space="preserve">through a </w:t>
      </w:r>
      <w:r w:rsidR="00DF09DB" w:rsidRPr="008E4DB3">
        <w:t xml:space="preserve">lump sum of EUR </w:t>
      </w:r>
      <w:r w:rsidR="006910EC" w:rsidRPr="008E4DB3">
        <w:t>22</w:t>
      </w:r>
      <w:r w:rsidR="00770D21">
        <w:t xml:space="preserve"> </w:t>
      </w:r>
      <w:r w:rsidR="00DF09DB" w:rsidRPr="008E4DB3">
        <w:t>000. It means</w:t>
      </w:r>
      <w:r w:rsidR="000418A8" w:rsidRPr="008E4DB3">
        <w:t xml:space="preserve"> that</w:t>
      </w:r>
      <w:r w:rsidR="005A43C0" w:rsidRPr="008E4DB3">
        <w:t xml:space="preserve"> the</w:t>
      </w:r>
      <w:r w:rsidR="00DF09DB" w:rsidRPr="008E4DB3">
        <w:t xml:space="preserve"> real costs related to the development of the project proposal cannot be submitted and claimed for reimbursement. </w:t>
      </w:r>
      <w:r w:rsidR="000418A8" w:rsidRPr="008E4DB3">
        <w:t>Proof of delivery of the activities covered by the lump sum is a submitted and approved (selected for funding) project application.</w:t>
      </w:r>
    </w:p>
    <w:p w14:paraId="0FBC9005" w14:textId="11352236" w:rsidR="00E5052E" w:rsidRDefault="007C5153" w:rsidP="003C58C0">
      <w:pPr>
        <w:spacing w:line="360" w:lineRule="auto"/>
      </w:pPr>
      <w:r>
        <w:rPr>
          <w:noProof/>
        </w:rPr>
        <mc:AlternateContent>
          <mc:Choice Requires="wps">
            <w:drawing>
              <wp:inline distT="0" distB="0" distL="0" distR="0" wp14:anchorId="3E6E3175" wp14:editId="413ECA86">
                <wp:extent cx="5780405" cy="1257300"/>
                <wp:effectExtent l="0" t="0" r="10795" b="19050"/>
                <wp:docPr id="426" name="Text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0405" cy="1257300"/>
                        </a:xfrm>
                        <a:prstGeom prst="rect">
                          <a:avLst/>
                        </a:prstGeom>
                        <a:ln w="12700">
                          <a:solidFill>
                            <a:srgbClr val="003399"/>
                          </a:solidFill>
                          <a:prstDash val="solid"/>
                        </a:ln>
                      </wps:spPr>
                      <wps:txbx>
                        <w:txbxContent>
                          <w:p w14:paraId="5463C4F8" w14:textId="39635DA0" w:rsidR="007C5153" w:rsidRPr="007C5153" w:rsidRDefault="007C5153" w:rsidP="007C5153">
                            <w:pPr>
                              <w:pStyle w:val="BodyText"/>
                              <w:rPr>
                                <w:rFonts w:ascii="Open Sans ExtraBold" w:eastAsiaTheme="minorHAnsi" w:hAnsiTheme="minorHAnsi" w:cstheme="minorBidi"/>
                                <w:b/>
                                <w:color w:val="003399"/>
                                <w:spacing w:val="-2"/>
                                <w:sz w:val="20"/>
                                <w:szCs w:val="22"/>
                                <w:lang w:eastAsia="en-US"/>
                              </w:rPr>
                            </w:pPr>
                            <w:r w:rsidRPr="007C5153">
                              <w:rPr>
                                <w:rFonts w:ascii="Open Sans ExtraBold" w:eastAsiaTheme="minorHAnsi" w:hAnsiTheme="minorHAnsi" w:cstheme="minorBidi"/>
                                <w:b/>
                                <w:color w:val="003399"/>
                                <w:spacing w:val="-2"/>
                                <w:sz w:val="20"/>
                                <w:szCs w:val="22"/>
                                <w:lang w:eastAsia="en-US"/>
                              </w:rPr>
                              <w:t xml:space="preserve">NB: </w:t>
                            </w:r>
                          </w:p>
                          <w:p w14:paraId="128847BF" w14:textId="77777777" w:rsidR="007C5153" w:rsidRPr="007C5153" w:rsidRDefault="007C5153" w:rsidP="007C5153">
                            <w:pPr>
                              <w:pStyle w:val="BodyText"/>
                              <w:rPr>
                                <w:rFonts w:ascii="Open Sans" w:eastAsiaTheme="minorHAnsi" w:hAnsi="Open Sans" w:cstheme="minorBidi"/>
                                <w:color w:val="auto"/>
                                <w:sz w:val="24"/>
                                <w:szCs w:val="22"/>
                                <w:lang w:eastAsia="en-US"/>
                              </w:rPr>
                            </w:pPr>
                            <w:r w:rsidRPr="007C5153">
                              <w:rPr>
                                <w:rFonts w:ascii="Open Sans" w:eastAsiaTheme="minorHAnsi" w:hAnsi="Open Sans" w:cstheme="minorBidi"/>
                                <w:color w:val="auto"/>
                                <w:sz w:val="24"/>
                                <w:szCs w:val="22"/>
                                <w:lang w:eastAsia="en-US"/>
                              </w:rPr>
                              <w:t>Please note that preparation costs can be granted only for regular projects excluding projects that are developed as the result of received seed money support from the Interreg South Baltic Programme 2014–2020 or 2021–2027 or any other seed money instrument.</w:t>
                            </w:r>
                          </w:p>
                        </w:txbxContent>
                      </wps:txbx>
                      <wps:bodyPr wrap="square" lIns="0" tIns="0" rIns="0" bIns="0" rtlCol="0">
                        <a:noAutofit/>
                      </wps:bodyPr>
                    </wps:wsp>
                  </a:graphicData>
                </a:graphic>
              </wp:inline>
            </w:drawing>
          </mc:Choice>
          <mc:Fallback>
            <w:pict>
              <v:shape w14:anchorId="3E6E3175" id="Textbox 426" o:spid="_x0000_s1040" type="#_x0000_t202" style="width:455.1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" filled="f" strokecolor="#039" strokeweight="1pt">
                <v:path arrowok="t"/>
                <v:textbox inset="0,0,0,0">
                  <w:txbxContent>
                    <w:p w14:paraId="5463C4F8" w14:textId="39635DA0" w:rsidR="007C5153" w:rsidRPr="007C5153" w:rsidRDefault="007C5153" w:rsidP="007C5153">
                      <w:pPr>
                        <w:pStyle w:val="BodyText"/>
                        <w:rPr>
                          <w:rFonts w:ascii="Open Sans ExtraBold" w:eastAsiaTheme="minorHAnsi" w:hAnsiTheme="minorHAnsi" w:cstheme="minorBidi"/>
                          <w:b/>
                          <w:color w:val="003399"/>
                          <w:spacing w:val="-2"/>
                          <w:sz w:val="20"/>
                          <w:szCs w:val="22"/>
                          <w:lang w:eastAsia="en-US"/>
                        </w:rPr>
                      </w:pPr>
                      <w:r w:rsidRPr="007C5153">
                        <w:rPr>
                          <w:rFonts w:ascii="Open Sans ExtraBold" w:eastAsiaTheme="minorHAnsi" w:hAnsiTheme="minorHAnsi" w:cstheme="minorBidi"/>
                          <w:b/>
                          <w:color w:val="003399"/>
                          <w:spacing w:val="-2"/>
                          <w:sz w:val="20"/>
                          <w:szCs w:val="22"/>
                          <w:lang w:eastAsia="en-US"/>
                        </w:rPr>
                        <w:t xml:space="preserve">NB: </w:t>
                      </w:r>
                    </w:p>
                    <w:p w14:paraId="128847BF" w14:textId="77777777" w:rsidR="007C5153" w:rsidRPr="007C5153" w:rsidRDefault="007C5153" w:rsidP="007C5153">
                      <w:pPr>
                        <w:pStyle w:val="BodyText"/>
                        <w:rPr>
                          <w:rFonts w:ascii="Open Sans" w:eastAsiaTheme="minorHAnsi" w:hAnsi="Open Sans" w:cstheme="minorBidi"/>
                          <w:color w:val="auto"/>
                          <w:sz w:val="24"/>
                          <w:szCs w:val="22"/>
                          <w:lang w:eastAsia="en-US"/>
                        </w:rPr>
                      </w:pPr>
                      <w:r w:rsidRPr="007C5153">
                        <w:rPr>
                          <w:rFonts w:ascii="Open Sans" w:eastAsiaTheme="minorHAnsi" w:hAnsi="Open Sans" w:cstheme="minorBidi"/>
                          <w:color w:val="auto"/>
                          <w:sz w:val="24"/>
                          <w:szCs w:val="22"/>
                          <w:lang w:eastAsia="en-US"/>
                        </w:rPr>
                        <w:t>Please note that preparation costs can be granted only for regular projects excluding projects that are developed as the result of received seed money support from the Interreg South Baltic Programme 2014–2020 or 2021–2027 or any other seed money instrument.</w:t>
                      </w:r>
                    </w:p>
                  </w:txbxContent>
                </v:textbox>
                <w10:anchorlock/>
              </v:shape>
            </w:pict>
          </mc:Fallback>
        </mc:AlternateContent>
      </w:r>
    </w:p>
    <w:p w14:paraId="0B2F673B" w14:textId="6CFEB747" w:rsidR="006D2239" w:rsidRPr="003A4371" w:rsidRDefault="007447C7" w:rsidP="003C58C0">
      <w:pPr>
        <w:spacing w:line="360" w:lineRule="auto"/>
        <w:rPr>
          <w:rFonts w:ascii="Segoe UI" w:hAnsi="Segoe UI" w:cs="Segoe UI"/>
          <w:lang w:val="en-GB"/>
        </w:rPr>
      </w:pPr>
      <w:r w:rsidRPr="008E4DB3">
        <w:rPr>
          <w:rFonts w:ascii="Open Sans SemiBold" w:eastAsia="Open Sans SemiBold" w:hAnsi="Open Sans SemiBold" w:cs="Open Sans SemiBold"/>
          <w:bCs/>
          <w:color w:val="003399"/>
        </w:rPr>
        <w:lastRenderedPageBreak/>
        <w:t>Implementation phase</w:t>
      </w:r>
      <w:r w:rsidR="001B485A" w:rsidRPr="00B5209A">
        <w:rPr>
          <w:rFonts w:ascii="Segoe UI" w:hAnsi="Segoe UI" w:cs="Segoe UI"/>
          <w:b/>
          <w:bCs/>
          <w:color w:val="1C4E6D"/>
          <w:lang w:val="en-GB"/>
        </w:rPr>
        <w:t xml:space="preserve"> </w:t>
      </w:r>
      <w:r w:rsidR="001B485A" w:rsidRPr="008E4DB3">
        <w:t xml:space="preserve">– </w:t>
      </w:r>
      <w:r w:rsidRPr="008E4DB3">
        <w:t>covers the period of reali</w:t>
      </w:r>
      <w:r w:rsidR="004C3F0F" w:rsidRPr="008E4DB3">
        <w:t>s</w:t>
      </w:r>
      <w:r w:rsidRPr="008E4DB3">
        <w:t xml:space="preserve">ation of all activities planned in the Application Form. All projects must deliver all outputs and achieve the project’s objectives </w:t>
      </w:r>
      <w:r w:rsidR="004E7C80" w:rsidRPr="008E4DB3">
        <w:t xml:space="preserve">by the </w:t>
      </w:r>
      <w:r w:rsidR="00552C96" w:rsidRPr="008E4DB3">
        <w:t>end of</w:t>
      </w:r>
      <w:r w:rsidRPr="008E4DB3">
        <w:t xml:space="preserve"> the implementation phase.</w:t>
      </w:r>
      <w:r w:rsidR="001B485A" w:rsidRPr="008E4DB3">
        <w:t xml:space="preserve"> </w:t>
      </w:r>
      <w:r w:rsidR="00552C96" w:rsidRPr="008E4DB3">
        <w:t>Regardless of</w:t>
      </w:r>
      <w:r w:rsidR="006D2239" w:rsidRPr="008E4DB3">
        <w:t xml:space="preserve"> the project type, </w:t>
      </w:r>
      <w:r w:rsidR="005A43C0" w:rsidRPr="008E4DB3">
        <w:t xml:space="preserve">the </w:t>
      </w:r>
      <w:r w:rsidR="006D2239" w:rsidRPr="008E4DB3">
        <w:t>start and end date of each project are stipulated in the Subsidy Contract framing the implementation phase.</w:t>
      </w:r>
    </w:p>
    <w:p w14:paraId="0CFC0C11" w14:textId="424627BD" w:rsidR="00295E28" w:rsidRPr="007C5153" w:rsidRDefault="007447C7" w:rsidP="003C58C0">
      <w:pPr>
        <w:spacing w:line="360" w:lineRule="auto"/>
        <w:rPr>
          <w:rFonts w:ascii="Open Sans SemiBold" w:eastAsia="Open Sans SemiBold" w:hAnsi="Open Sans SemiBold" w:cs="Open Sans SemiBold"/>
          <w:bCs/>
          <w:color w:val="003399"/>
        </w:rPr>
      </w:pPr>
      <w:r w:rsidRPr="007C5153">
        <w:rPr>
          <w:rFonts w:ascii="Open Sans SemiBold" w:eastAsia="Open Sans SemiBold" w:hAnsi="Open Sans SemiBold" w:cs="Open Sans SemiBold"/>
          <w:bCs/>
          <w:color w:val="003399"/>
        </w:rPr>
        <w:t>Start date</w:t>
      </w:r>
      <w:r w:rsidR="004029AC" w:rsidRPr="007C5153">
        <w:rPr>
          <w:rFonts w:ascii="Open Sans SemiBold" w:eastAsia="Open Sans SemiBold" w:hAnsi="Open Sans SemiBold" w:cs="Open Sans SemiBold"/>
          <w:bCs/>
          <w:color w:val="003399"/>
        </w:rPr>
        <w:t xml:space="preserve"> of the implementation phase</w:t>
      </w:r>
      <w:r w:rsidR="00295E28" w:rsidRPr="007C5153">
        <w:rPr>
          <w:rFonts w:ascii="Open Sans SemiBold" w:eastAsia="Open Sans SemiBold" w:hAnsi="Open Sans SemiBold" w:cs="Open Sans SemiBold"/>
          <w:bCs/>
          <w:color w:val="003399"/>
        </w:rPr>
        <w:t>:</w:t>
      </w:r>
    </w:p>
    <w:p w14:paraId="2015B3B6" w14:textId="77777777" w:rsidR="004029AC" w:rsidRPr="003A4371" w:rsidRDefault="007447C7" w:rsidP="003C58C0">
      <w:pPr>
        <w:spacing w:line="360" w:lineRule="auto"/>
        <w:rPr>
          <w:rFonts w:ascii="Segoe UI" w:hAnsi="Segoe UI" w:cs="Segoe UI"/>
          <w:lang w:val="en-GB"/>
        </w:rPr>
      </w:pPr>
      <w:r w:rsidRPr="00CB5436">
        <w:rPr>
          <w:rFonts w:ascii="Open Sans SemiBold" w:eastAsia="Open Sans SemiBold" w:hAnsi="Open Sans SemiBold" w:cs="Open Sans SemiBold"/>
          <w:bCs/>
          <w:color w:val="003399"/>
        </w:rPr>
        <w:t>The earliest start date</w:t>
      </w:r>
      <w:r w:rsidRPr="00C67E83">
        <w:t xml:space="preserve"> of the project can be the day after the end date of the respective call for proposals.</w:t>
      </w:r>
    </w:p>
    <w:p w14:paraId="35D2CCE7" w14:textId="70B9B9B1" w:rsidR="007447C7" w:rsidRDefault="007447C7" w:rsidP="003C58C0">
      <w:pPr>
        <w:spacing w:line="360" w:lineRule="auto"/>
      </w:pPr>
      <w:r w:rsidRPr="00CB5436">
        <w:rPr>
          <w:rFonts w:ascii="Open Sans SemiBold" w:eastAsia="Open Sans SemiBold" w:hAnsi="Open Sans SemiBold" w:cs="Open Sans SemiBold"/>
          <w:bCs/>
          <w:color w:val="003399"/>
        </w:rPr>
        <w:t>At the latest</w:t>
      </w:r>
      <w:r w:rsidRPr="00FB7855">
        <w:rPr>
          <w:rFonts w:ascii="Segoe UI" w:hAnsi="Segoe UI" w:cs="Segoe UI"/>
          <w:lang w:val="en-GB"/>
        </w:rPr>
        <w:t>,</w:t>
      </w:r>
      <w:r w:rsidRPr="003A4371">
        <w:rPr>
          <w:rFonts w:ascii="Segoe UI" w:hAnsi="Segoe UI" w:cs="Segoe UI"/>
          <w:lang w:val="en-GB"/>
        </w:rPr>
        <w:t xml:space="preserve"> </w:t>
      </w:r>
      <w:r w:rsidRPr="00C67E83">
        <w:t>the implementation phase is required to start three months after the decision of the Monitoring Committee.</w:t>
      </w:r>
    </w:p>
    <w:p w14:paraId="68556B3D" w14:textId="68961BD5" w:rsidR="00084668" w:rsidRPr="007C5153" w:rsidRDefault="004B180C" w:rsidP="003C58C0">
      <w:pPr>
        <w:spacing w:line="360" w:lineRule="auto"/>
        <w:rPr>
          <w:rFonts w:ascii="Segoe UI" w:hAnsi="Segoe UI" w:cs="Segoe UI"/>
          <w:lang w:val="en-GB"/>
        </w:rPr>
      </w:pPr>
      <w:r>
        <w:rPr>
          <w:noProof/>
        </w:rPr>
        <mc:AlternateContent>
          <mc:Choice Requires="wps">
            <w:drawing>
              <wp:inline distT="0" distB="0" distL="0" distR="0" wp14:anchorId="6A77DA33" wp14:editId="11FE6C86">
                <wp:extent cx="5769773" cy="1552575"/>
                <wp:effectExtent l="0" t="0" r="21590" b="28575"/>
                <wp:docPr id="462" name="Textbox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9773" cy="1552575"/>
                        </a:xfrm>
                        <a:prstGeom prst="rect">
                          <a:avLst/>
                        </a:prstGeom>
                        <a:ln w="12700">
                          <a:solidFill>
                            <a:srgbClr val="003399"/>
                          </a:solidFill>
                          <a:prstDash val="solid"/>
                        </a:ln>
                      </wps:spPr>
                      <wps:txbx>
                        <w:txbxContent>
                          <w:p w14:paraId="1B3BCAEF" w14:textId="77777777" w:rsidR="004B180C" w:rsidRPr="007C5153" w:rsidRDefault="004B180C" w:rsidP="00805C22">
                            <w:pPr>
                              <w:pStyle w:val="BodyText"/>
                              <w:rPr>
                                <w:rFonts w:ascii="Open Sans ExtraBold" w:eastAsiaTheme="minorHAnsi" w:hAnsiTheme="minorHAnsi" w:cstheme="minorBidi"/>
                                <w:b/>
                                <w:color w:val="003399"/>
                                <w:spacing w:val="-2"/>
                                <w:sz w:val="24"/>
                                <w:szCs w:val="28"/>
                                <w:lang w:eastAsia="en-US"/>
                              </w:rPr>
                            </w:pPr>
                            <w:bookmarkStart w:id="33" w:name="1.2_Project_types"/>
                            <w:bookmarkStart w:id="34" w:name="_bookmark21"/>
                            <w:bookmarkEnd w:id="33"/>
                            <w:bookmarkEnd w:id="34"/>
                            <w:r w:rsidRPr="007C5153">
                              <w:rPr>
                                <w:rFonts w:ascii="Open Sans ExtraBold" w:eastAsiaTheme="minorHAnsi" w:hAnsiTheme="minorHAnsi" w:cstheme="minorBidi"/>
                                <w:b/>
                                <w:color w:val="003399"/>
                                <w:spacing w:val="-2"/>
                                <w:sz w:val="24"/>
                                <w:szCs w:val="28"/>
                                <w:lang w:eastAsia="en-US"/>
                              </w:rPr>
                              <w:t>Note:</w:t>
                            </w:r>
                          </w:p>
                          <w:p w14:paraId="5FE4E8EC" w14:textId="77777777" w:rsidR="004B180C" w:rsidRPr="007C5153" w:rsidRDefault="004B180C" w:rsidP="00805C22">
                            <w:pPr>
                              <w:pStyle w:val="BodyText"/>
                              <w:numPr>
                                <w:ilvl w:val="0"/>
                                <w:numId w:val="82"/>
                              </w:numPr>
                              <w:rPr>
                                <w:rFonts w:ascii="Open Sans" w:eastAsiaTheme="minorHAnsi" w:hAnsi="Open Sans" w:cstheme="minorBidi"/>
                                <w:color w:val="auto"/>
                                <w:sz w:val="24"/>
                                <w:szCs w:val="22"/>
                                <w:lang w:eastAsia="en-US"/>
                              </w:rPr>
                            </w:pPr>
                            <w:r w:rsidRPr="007C5153">
                              <w:rPr>
                                <w:rFonts w:ascii="Open Sans" w:eastAsiaTheme="minorHAnsi" w:hAnsi="Open Sans" w:cstheme="minorBidi"/>
                                <w:color w:val="auto"/>
                                <w:sz w:val="24"/>
                                <w:szCs w:val="22"/>
                                <w:lang w:eastAsia="en-US"/>
                              </w:rPr>
                              <w:t>Project activities can be carried out before the approval of the project by the Monitoring Committee, but at the project’s own risk.</w:t>
                            </w:r>
                          </w:p>
                          <w:p w14:paraId="6BC8851E" w14:textId="2C391D0B" w:rsidR="004B180C" w:rsidRPr="007C5153" w:rsidRDefault="004B180C" w:rsidP="00805C22">
                            <w:pPr>
                              <w:pStyle w:val="BodyText"/>
                              <w:numPr>
                                <w:ilvl w:val="0"/>
                                <w:numId w:val="82"/>
                              </w:numPr>
                              <w:rPr>
                                <w:rFonts w:ascii="Open Sans" w:eastAsiaTheme="minorHAnsi" w:hAnsi="Open Sans" w:cstheme="minorBidi"/>
                                <w:color w:val="auto"/>
                                <w:sz w:val="24"/>
                                <w:szCs w:val="22"/>
                                <w:lang w:eastAsia="en-US"/>
                              </w:rPr>
                            </w:pPr>
                            <w:r w:rsidRPr="007C5153">
                              <w:rPr>
                                <w:rFonts w:ascii="Open Sans" w:eastAsiaTheme="minorHAnsi" w:hAnsi="Open Sans" w:cstheme="minorBidi"/>
                                <w:color w:val="auto"/>
                                <w:sz w:val="24"/>
                                <w:szCs w:val="22"/>
                                <w:lang w:eastAsia="en-US"/>
                              </w:rPr>
                              <w:t xml:space="preserve">Projects on the reserve list are applied with a different project implementation start date (for more information, please refer to Chapter V, Section </w:t>
                            </w:r>
                            <w:r w:rsidR="00041514" w:rsidRPr="007C5153">
                              <w:rPr>
                                <w:rFonts w:ascii="Open Sans" w:eastAsiaTheme="minorHAnsi" w:hAnsi="Open Sans" w:cstheme="minorBidi"/>
                                <w:color w:val="auto"/>
                                <w:sz w:val="24"/>
                                <w:szCs w:val="22"/>
                                <w:lang w:eastAsia="en-US"/>
                              </w:rPr>
                              <w:t>6</w:t>
                            </w:r>
                            <w:r w:rsidRPr="007C5153">
                              <w:rPr>
                                <w:rFonts w:ascii="Open Sans" w:eastAsiaTheme="minorHAnsi" w:hAnsi="Open Sans" w:cstheme="minorBidi"/>
                                <w:color w:val="auto"/>
                                <w:sz w:val="24"/>
                                <w:szCs w:val="22"/>
                                <w:lang w:eastAsia="en-US"/>
                              </w:rPr>
                              <w:t xml:space="preserve"> Selection of projects and Complaints procedure).</w:t>
                            </w:r>
                          </w:p>
                        </w:txbxContent>
                      </wps:txbx>
                      <wps:bodyPr wrap="square" lIns="0" tIns="0" rIns="0" bIns="0" rtlCol="0">
                        <a:noAutofit/>
                      </wps:bodyPr>
                    </wps:wsp>
                  </a:graphicData>
                </a:graphic>
              </wp:inline>
            </w:drawing>
          </mc:Choice>
          <mc:Fallback>
            <w:pict>
              <v:shape w14:anchorId="6A77DA33" id="Textbox 462" o:spid="_x0000_s1041" type="#_x0000_t202" style="width:454.3pt;height:12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" filled="f" strokecolor="#039" strokeweight="1pt">
                <v:path arrowok="t"/>
                <v:textbox inset="0,0,0,0">
                  <w:txbxContent>
                    <w:p w14:paraId="1B3BCAEF" w14:textId="77777777" w:rsidR="004B180C" w:rsidRPr="007C5153" w:rsidRDefault="004B180C" w:rsidP="00805C22">
                      <w:pPr>
                        <w:pStyle w:val="BodyText"/>
                        <w:rPr>
                          <w:rFonts w:ascii="Open Sans ExtraBold" w:eastAsiaTheme="minorHAnsi" w:hAnsiTheme="minorHAnsi" w:cstheme="minorBidi"/>
                          <w:b/>
                          <w:color w:val="003399"/>
                          <w:spacing w:val="-2"/>
                          <w:sz w:val="24"/>
                          <w:szCs w:val="28"/>
                          <w:lang w:eastAsia="en-US"/>
                        </w:rPr>
                      </w:pPr>
                      <w:bookmarkStart w:id="35" w:name="1.2_Project_types"/>
                      <w:bookmarkStart w:id="36" w:name="_bookmark21"/>
                      <w:bookmarkEnd w:id="35"/>
                      <w:bookmarkEnd w:id="36"/>
                      <w:r w:rsidRPr="007C5153">
                        <w:rPr>
                          <w:rFonts w:ascii="Open Sans ExtraBold" w:eastAsiaTheme="minorHAnsi" w:hAnsiTheme="minorHAnsi" w:cstheme="minorBidi"/>
                          <w:b/>
                          <w:color w:val="003399"/>
                          <w:spacing w:val="-2"/>
                          <w:sz w:val="24"/>
                          <w:szCs w:val="28"/>
                          <w:lang w:eastAsia="en-US"/>
                        </w:rPr>
                        <w:t>Note:</w:t>
                      </w:r>
                    </w:p>
                    <w:p w14:paraId="5FE4E8EC" w14:textId="77777777" w:rsidR="004B180C" w:rsidRPr="007C5153" w:rsidRDefault="004B180C" w:rsidP="00805C22">
                      <w:pPr>
                        <w:pStyle w:val="BodyText"/>
                        <w:numPr>
                          <w:ilvl w:val="0"/>
                          <w:numId w:val="82"/>
                        </w:numPr>
                        <w:rPr>
                          <w:rFonts w:ascii="Open Sans" w:eastAsiaTheme="minorHAnsi" w:hAnsi="Open Sans" w:cstheme="minorBidi"/>
                          <w:color w:val="auto"/>
                          <w:sz w:val="24"/>
                          <w:szCs w:val="22"/>
                          <w:lang w:eastAsia="en-US"/>
                        </w:rPr>
                      </w:pPr>
                      <w:r w:rsidRPr="007C5153">
                        <w:rPr>
                          <w:rFonts w:ascii="Open Sans" w:eastAsiaTheme="minorHAnsi" w:hAnsi="Open Sans" w:cstheme="minorBidi"/>
                          <w:color w:val="auto"/>
                          <w:sz w:val="24"/>
                          <w:szCs w:val="22"/>
                          <w:lang w:eastAsia="en-US"/>
                        </w:rPr>
                        <w:t>Project activities can be carried out before the approval of the project by the Monitoring Committee, but at the project’s own risk.</w:t>
                      </w:r>
                    </w:p>
                    <w:p w14:paraId="6BC8851E" w14:textId="2C391D0B" w:rsidR="004B180C" w:rsidRPr="007C5153" w:rsidRDefault="004B180C" w:rsidP="00805C22">
                      <w:pPr>
                        <w:pStyle w:val="BodyText"/>
                        <w:numPr>
                          <w:ilvl w:val="0"/>
                          <w:numId w:val="82"/>
                        </w:numPr>
                        <w:rPr>
                          <w:rFonts w:ascii="Open Sans" w:eastAsiaTheme="minorHAnsi" w:hAnsi="Open Sans" w:cstheme="minorBidi"/>
                          <w:color w:val="auto"/>
                          <w:sz w:val="24"/>
                          <w:szCs w:val="22"/>
                          <w:lang w:eastAsia="en-US"/>
                        </w:rPr>
                      </w:pPr>
                      <w:r w:rsidRPr="007C5153">
                        <w:rPr>
                          <w:rFonts w:ascii="Open Sans" w:eastAsiaTheme="minorHAnsi" w:hAnsi="Open Sans" w:cstheme="minorBidi"/>
                          <w:color w:val="auto"/>
                          <w:sz w:val="24"/>
                          <w:szCs w:val="22"/>
                          <w:lang w:eastAsia="en-US"/>
                        </w:rPr>
                        <w:t xml:space="preserve">Projects on the reserve list are applied with a different project implementation start date (for more information, please refer to Chapter V, Section </w:t>
                      </w:r>
                      <w:r w:rsidR="00041514" w:rsidRPr="007C5153">
                        <w:rPr>
                          <w:rFonts w:ascii="Open Sans" w:eastAsiaTheme="minorHAnsi" w:hAnsi="Open Sans" w:cstheme="minorBidi"/>
                          <w:color w:val="auto"/>
                          <w:sz w:val="24"/>
                          <w:szCs w:val="22"/>
                          <w:lang w:eastAsia="en-US"/>
                        </w:rPr>
                        <w:t>6</w:t>
                      </w:r>
                      <w:r w:rsidRPr="007C5153">
                        <w:rPr>
                          <w:rFonts w:ascii="Open Sans" w:eastAsiaTheme="minorHAnsi" w:hAnsi="Open Sans" w:cstheme="minorBidi"/>
                          <w:color w:val="auto"/>
                          <w:sz w:val="24"/>
                          <w:szCs w:val="22"/>
                          <w:lang w:eastAsia="en-US"/>
                        </w:rPr>
                        <w:t xml:space="preserve"> Selection of projects and Complaints procedure).</w:t>
                      </w:r>
                    </w:p>
                  </w:txbxContent>
                </v:textbox>
                <w10:anchorlock/>
              </v:shape>
            </w:pict>
          </mc:Fallback>
        </mc:AlternateContent>
      </w:r>
    </w:p>
    <w:p w14:paraId="7A988990" w14:textId="6034E581" w:rsidR="004029AC" w:rsidRPr="007C5153" w:rsidRDefault="004029AC" w:rsidP="003C58C0">
      <w:pPr>
        <w:spacing w:line="360" w:lineRule="auto"/>
        <w:rPr>
          <w:rFonts w:ascii="Open Sans SemiBold" w:eastAsia="Open Sans SemiBold" w:hAnsi="Open Sans SemiBold" w:cs="Open Sans SemiBold"/>
          <w:bCs/>
          <w:color w:val="003399"/>
        </w:rPr>
      </w:pPr>
      <w:r w:rsidRPr="007C5153">
        <w:rPr>
          <w:rFonts w:ascii="Open Sans SemiBold" w:eastAsia="Open Sans SemiBold" w:hAnsi="Open Sans SemiBold" w:cs="Open Sans SemiBold"/>
          <w:bCs/>
          <w:color w:val="003399"/>
        </w:rPr>
        <w:t>End date of the implementation phase:</w:t>
      </w:r>
    </w:p>
    <w:p w14:paraId="23C6B20B" w14:textId="0C778E78" w:rsidR="007447C7" w:rsidRPr="00C67E83" w:rsidRDefault="007447C7" w:rsidP="003C58C0">
      <w:pPr>
        <w:spacing w:line="360" w:lineRule="auto"/>
      </w:pPr>
      <w:r w:rsidRPr="00C67E83">
        <w:t xml:space="preserve">The end date of the project is identified </w:t>
      </w:r>
      <w:r w:rsidR="005A43C0" w:rsidRPr="00C67E83">
        <w:t xml:space="preserve">based </w:t>
      </w:r>
      <w:r w:rsidRPr="00C67E83">
        <w:t>on the chosen project duration</w:t>
      </w:r>
      <w:r w:rsidR="00E767B4" w:rsidRPr="00C67E83">
        <w:t xml:space="preserve"> specified in the Application Form.</w:t>
      </w:r>
      <w:r w:rsidR="002D77A5" w:rsidRPr="00C67E83">
        <w:t xml:space="preserve"> </w:t>
      </w:r>
      <w:r w:rsidR="00E767B4" w:rsidRPr="00C67E83">
        <w:t xml:space="preserve">At the same time, all projects </w:t>
      </w:r>
      <w:r w:rsidR="009A6E77" w:rsidRPr="00C67E83">
        <w:t>must</w:t>
      </w:r>
      <w:r w:rsidR="00E767B4" w:rsidRPr="00C67E83">
        <w:t xml:space="preserve"> be finalised</w:t>
      </w:r>
      <w:r w:rsidR="00232754" w:rsidRPr="00C67E83">
        <w:t xml:space="preserve"> not later than 31 December 2029.</w:t>
      </w:r>
    </w:p>
    <w:p w14:paraId="270B29BA" w14:textId="27A3D79E" w:rsidR="007447C7" w:rsidRPr="002D2991" w:rsidRDefault="00D776C3" w:rsidP="003C58C0">
      <w:pPr>
        <w:spacing w:line="360" w:lineRule="auto"/>
        <w:rPr>
          <w:rFonts w:ascii="Segoe UI" w:hAnsi="Segoe UI" w:cs="Segoe UI"/>
          <w:lang w:val="en-GB"/>
        </w:rPr>
      </w:pPr>
      <w:r w:rsidRPr="00CB5436">
        <w:rPr>
          <w:rFonts w:ascii="Open Sans SemiBold" w:eastAsia="Open Sans SemiBold" w:hAnsi="Open Sans SemiBold" w:cs="Open Sans SemiBold"/>
          <w:bCs/>
          <w:color w:val="003399"/>
        </w:rPr>
        <w:t>Closure phase</w:t>
      </w:r>
      <w:r w:rsidRPr="00CB5436">
        <w:rPr>
          <w:rFonts w:ascii="Segoe UI" w:hAnsi="Segoe UI" w:cs="Segoe UI"/>
          <w:lang w:val="en-GB"/>
        </w:rPr>
        <w:t xml:space="preserve"> </w:t>
      </w:r>
      <w:r w:rsidRPr="00C67E83">
        <w:t>–</w:t>
      </w:r>
      <w:r w:rsidR="00064B0B" w:rsidRPr="00C67E83">
        <w:t xml:space="preserve"> </w:t>
      </w:r>
      <w:r w:rsidR="006D2239" w:rsidRPr="00C67E83">
        <w:t>covers the period from</w:t>
      </w:r>
      <w:r w:rsidR="007447C7" w:rsidRPr="00C67E83">
        <w:t xml:space="preserve"> the day after the end of the implementation phase until the submission of the final project progress report to the </w:t>
      </w:r>
      <w:bookmarkStart w:id="35" w:name="_Hlk98397948"/>
      <w:r w:rsidR="007447C7" w:rsidRPr="00C67E83">
        <w:t>J</w:t>
      </w:r>
      <w:r w:rsidR="002C7170" w:rsidRPr="00C67E83">
        <w:t xml:space="preserve">oint </w:t>
      </w:r>
      <w:r w:rsidR="007447C7" w:rsidRPr="00C67E83">
        <w:t>S</w:t>
      </w:r>
      <w:r w:rsidR="002C7170" w:rsidRPr="00C67E83">
        <w:t>ecretariat</w:t>
      </w:r>
      <w:bookmarkEnd w:id="35"/>
      <w:r w:rsidR="00064B0B" w:rsidRPr="00C67E83">
        <w:t xml:space="preserve">: </w:t>
      </w:r>
      <w:r w:rsidR="007447C7" w:rsidRPr="00C67E83">
        <w:t>in total, up to 120 days.</w:t>
      </w:r>
      <w:r w:rsidR="007447C7" w:rsidRPr="002D2991">
        <w:rPr>
          <w:rFonts w:ascii="Segoe UI" w:hAnsi="Segoe UI" w:cs="Segoe UI"/>
          <w:lang w:val="en-GB"/>
        </w:rPr>
        <w:t xml:space="preserve"> </w:t>
      </w:r>
    </w:p>
    <w:p w14:paraId="5C305F12" w14:textId="359E12AF" w:rsidR="002C355C" w:rsidRDefault="007447C7" w:rsidP="003C58C0">
      <w:pPr>
        <w:spacing w:line="360" w:lineRule="auto"/>
      </w:pPr>
      <w:r w:rsidRPr="00C67E83">
        <w:lastRenderedPageBreak/>
        <w:t xml:space="preserve">This period is fully dedicated to </w:t>
      </w:r>
      <w:r w:rsidR="005A43C0" w:rsidRPr="00C67E83">
        <w:t xml:space="preserve">the </w:t>
      </w:r>
      <w:r w:rsidRPr="00C67E83">
        <w:t>administration of the project finali</w:t>
      </w:r>
      <w:r w:rsidR="004C3F0F" w:rsidRPr="00C67E83">
        <w:t>s</w:t>
      </w:r>
      <w:r w:rsidRPr="00C67E83">
        <w:t xml:space="preserve">ation and concentrates on preparing the final project progress report and submitting it to the </w:t>
      </w:r>
      <w:r w:rsidR="002C7170" w:rsidRPr="00C67E83">
        <w:t>Joint Secretariat</w:t>
      </w:r>
      <w:r w:rsidRPr="00C67E83">
        <w:t>.</w:t>
      </w:r>
    </w:p>
    <w:p w14:paraId="61737836" w14:textId="4A8A597C" w:rsidR="00896139" w:rsidRPr="00B23A7B" w:rsidRDefault="00BF52DB" w:rsidP="003C58C0">
      <w:pPr>
        <w:spacing w:line="360" w:lineRule="auto"/>
      </w:pPr>
      <w:r w:rsidRPr="00B23A7B">
        <w:t>It should be noted that project partners will be getting a lump sum in the amount of EUR 13 400 per project to cover all costs of activities related to the closure phase of the project. No real costs can be reported in the closure phase, meaning after the defined project end date (please see Chapter IV, Section 3, sub-section 3.8. Project closure costs).</w:t>
      </w:r>
    </w:p>
    <w:tbl>
      <w:tblPr>
        <w:tblStyle w:val="TableGrid"/>
        <w:tblpPr w:leftFromText="180" w:rightFromText="180" w:vertAnchor="text" w:tblpY="49"/>
        <w:tblW w:w="9090" w:type="dxa"/>
        <w:tblLook w:val="04A0" w:firstRow="1" w:lastRow="0" w:firstColumn="1" w:lastColumn="0" w:noHBand="0" w:noVBand="1"/>
      </w:tblPr>
      <w:tblGrid>
        <w:gridCol w:w="9090"/>
      </w:tblGrid>
      <w:tr w:rsidR="00B23A7B" w:rsidRPr="00805C22" w14:paraId="7B477801" w14:textId="77777777" w:rsidTr="00B23A7B">
        <w:tc>
          <w:tcPr>
            <w:tcW w:w="9090" w:type="dxa"/>
          </w:tcPr>
          <w:p w14:paraId="0B69F778" w14:textId="427B0160" w:rsidR="00B23A7B" w:rsidRPr="002C355C" w:rsidRDefault="00B23A7B" w:rsidP="003C58C0">
            <w:pPr>
              <w:spacing w:line="360" w:lineRule="auto"/>
              <w:rPr>
                <w:rFonts w:ascii="Segoe UI" w:hAnsi="Segoe UI" w:cs="Segoe UI"/>
              </w:rPr>
            </w:pPr>
            <w:r w:rsidRPr="007724C1">
              <w:t xml:space="preserve">Please note that costs for closure can be granted </w:t>
            </w:r>
            <w:r w:rsidRPr="007724C1">
              <w:rPr>
                <w:rFonts w:ascii="Open Sans ExtraBold"/>
                <w:b/>
                <w:color w:val="003399"/>
                <w:spacing w:val="-2"/>
              </w:rPr>
              <w:t>only for regular projects</w:t>
            </w:r>
            <w:r w:rsidRPr="007724C1">
              <w:t xml:space="preserve"> financed by the Interreg South Baltic Programme.</w:t>
            </w:r>
            <w:r w:rsidR="00896139">
              <w:t xml:space="preserve"> </w:t>
            </w:r>
            <w:bookmarkStart w:id="36" w:name="_Hlk147311017"/>
            <w:r w:rsidR="00896139" w:rsidRPr="00896139">
              <w:t xml:space="preserve">The lump sum for closure costs is applicable for projects </w:t>
            </w:r>
            <w:bookmarkStart w:id="37" w:name="_Hlk147310013"/>
            <w:r w:rsidR="00896139" w:rsidRPr="00896139">
              <w:t xml:space="preserve">starting from the second call for proposals </w:t>
            </w:r>
            <w:bookmarkEnd w:id="37"/>
            <w:r w:rsidR="00896139" w:rsidRPr="00896139">
              <w:t xml:space="preserve">and is the only way to declare these costs. Projects </w:t>
            </w:r>
            <w:r w:rsidR="00896139">
              <w:t>approved in</w:t>
            </w:r>
            <w:r w:rsidR="00896139" w:rsidRPr="00896139">
              <w:t xml:space="preserve"> the first call for proposals declare closure costs on the basis of real costs</w:t>
            </w:r>
            <w:r w:rsidR="00896139">
              <w:t>.</w:t>
            </w:r>
            <w:bookmarkEnd w:id="36"/>
          </w:p>
        </w:tc>
      </w:tr>
    </w:tbl>
    <w:p w14:paraId="6C775B0C" w14:textId="77777777" w:rsidR="00B23A7B" w:rsidRPr="00B23A7B" w:rsidRDefault="00B23A7B" w:rsidP="003C58C0">
      <w:pPr>
        <w:spacing w:line="360" w:lineRule="auto"/>
      </w:pPr>
    </w:p>
    <w:p w14:paraId="4B433402" w14:textId="190B6D2C" w:rsidR="00F43A3C" w:rsidRPr="00C223C5" w:rsidRDefault="00F43A3C" w:rsidP="003C58C0">
      <w:pPr>
        <w:pStyle w:val="Heading3"/>
        <w:spacing w:line="360" w:lineRule="auto"/>
      </w:pPr>
      <w:bookmarkStart w:id="38" w:name="_Toc147242382"/>
      <w:r w:rsidRPr="00C223C5">
        <w:t>1.2 Project types</w:t>
      </w:r>
      <w:bookmarkEnd w:id="38"/>
    </w:p>
    <w:p w14:paraId="306A082D" w14:textId="41C3C55C" w:rsidR="00084668" w:rsidRDefault="007447C7" w:rsidP="003C58C0">
      <w:pPr>
        <w:spacing w:line="360" w:lineRule="auto"/>
      </w:pPr>
      <w:r w:rsidRPr="00C67E83">
        <w:t>The South Baltic Programme recognises regular, small</w:t>
      </w:r>
      <w:r w:rsidR="00763FF4" w:rsidRPr="00C67E83">
        <w:t>-</w:t>
      </w:r>
      <w:r w:rsidRPr="00C67E83">
        <w:t xml:space="preserve">scale, and seed money </w:t>
      </w:r>
      <w:r w:rsidR="00763FF4" w:rsidRPr="00C67E83">
        <w:t>projects</w:t>
      </w:r>
      <w:r w:rsidRPr="00C67E83">
        <w:t>.</w:t>
      </w:r>
      <w:r w:rsidR="00064B0B" w:rsidRPr="00C67E83">
        <w:t xml:space="preserve"> </w:t>
      </w:r>
      <w:r w:rsidR="00BF51EF" w:rsidRPr="00C67E83">
        <w:t xml:space="preserve">Each </w:t>
      </w:r>
      <w:r w:rsidR="0000618F" w:rsidRPr="00C67E83">
        <w:t>c</w:t>
      </w:r>
      <w:r w:rsidR="00BF51EF" w:rsidRPr="00C67E83">
        <w:t xml:space="preserve">all for </w:t>
      </w:r>
      <w:r w:rsidR="0000618F" w:rsidRPr="00C67E83">
        <w:t>p</w:t>
      </w:r>
      <w:r w:rsidR="00BF51EF" w:rsidRPr="00C67E83">
        <w:t xml:space="preserve">roposals announcement will provide precise information on </w:t>
      </w:r>
      <w:r w:rsidR="005322D9" w:rsidRPr="00C67E83">
        <w:t xml:space="preserve">the </w:t>
      </w:r>
      <w:r w:rsidR="00BF51EF" w:rsidRPr="00C67E83">
        <w:t xml:space="preserve">targeted type of projects. </w:t>
      </w:r>
      <w:r w:rsidR="00763FF4" w:rsidRPr="00C67E83">
        <w:t xml:space="preserve">Each project type </w:t>
      </w:r>
      <w:r w:rsidR="009C793C" w:rsidRPr="00C67E83">
        <w:t xml:space="preserve">can be implemented under all Programme Measures. </w:t>
      </w:r>
    </w:p>
    <w:p w14:paraId="7C6C9FA6" w14:textId="1696B2EB" w:rsidR="00312982" w:rsidRPr="00153519" w:rsidRDefault="00153519" w:rsidP="003C58C0">
      <w:pPr>
        <w:spacing w:line="360" w:lineRule="auto"/>
      </w:pPr>
      <w:r w:rsidRPr="00153519">
        <w:t>Table 1</w:t>
      </w:r>
      <w:r>
        <w:t xml:space="preserve"> Project types</w:t>
      </w:r>
    </w:p>
    <w:tbl>
      <w:tblPr>
        <w:tblStyle w:val="TableNormal1"/>
        <w:tblpPr w:leftFromText="180" w:rightFromText="180" w:vertAnchor="text" w:horzAnchor="margin" w:tblpY="305"/>
        <w:tblW w:w="0" w:type="auto"/>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Project types"/>
        <w:tblDescription w:val="Regular project&#10;• Objective: To address identified challenges and needs of the Programme Area in a complex way in the chosen sector.&#10;• Duration: Up to 36 months&#10;• Total eligible budget: Recommended between EUR 1,000,000 and EUR 2,000,000. The project budget may differ from the recommendation if it is justified by the planned activities, outputs or size of the partnership. In no case shall the total eligible budget exceed 5,000,000 EUR.&#10;• Partnership: Minimum requirement: Two partners from the Programme Area from two different Member States. The Programme strongly emphasises that projects involving project partners from the Programme area from only two Member States are not the prime target and can be funded only in exceptional and well justified cases. As general rule, the size and composition of the partnership shall correspond to the planned project activities, therefore the number of partners in individual projects may differ from the recommended project size. Main focus is on multilateral cooperation. Recommended average project size is 6–8 project partners.&#10;• Intervention logic: The project should contribute to a set of relevant Programme output and result indicators.&#10;• Simplification measures: Simplified eligibility rules, as specified in Chapter IV General rules on the eligibility of costs and budget structure&#10;• Separate Terms of Reference: Not introduced.&#10;Small-scale project&#10;• Objective: To address the challenges and needs of the Programme Area, for example by facilitating the involvement of the following actors to cross-border cooperation: NGOs, small and not experienced organisations, newcomers to the Interreg cooperation, especially public institutions from the hinterlands.&#10;• Duration: Up to 18 months&#10;• Total eligible budget: Up to EUR 200,000&#10;• Partnership: Minimum requirement: Two partners from the Programme Area from two different Member States. The Programme strongly emphasises that projects involving project partners from the Programme area from only two Member States are not the prime target and can be funded only in exceptional and well justified cases. As general rule, the size and composition of the partnership shall correspond to the planned project activities, therefore the number of partners in individual projects may differ from the recommended project size. Main focus is on multilateral cooperation. Recommended average project size is 4–6 project partners.&#10;• Intervention logic: The project should contribute to relevant Programme output and result indicators. Considering the project size, the number of selected indicators may be limited compared to regular projects.&#10;• Simplification measures: Simplified eligibility rules specified in the dedicated Terms of Reference and in Chapter IV General rules on the eligibility of costs and budget structure.&#10;• Separate Terms of Reference: Introduced&#10;Seed Money scheme&#10;• Objective: To facilitate the preparation of regular project applications to be implemented and financed under the Interreg South Baltic Programme&#10;• Duration: Up to 6 months&#10;• Total eligible budget: To be specified in the Terms of Reference&#10;• Partnership: Minimum requirement: Two partners from the Programme Area from two different Member States. The Programme strongly emphasises that projects involving project partners from the Programme area from only two Member States are not the prime target and can be funded only in exceptional and well justified cases. As general rule, the size and composition of the partnership shall correspond to the planned project activities, therefore the number of partners in individual projects may differ from the recommended project size. The number of partners may only exceed 6 in well justified cases.&#10;• Intervention logic: Specific outputs are defined in the Terms of Reference.&#10;• Simplification measures: Simplified eligibility rules specified in the dedicated Terms of Reference.&#10;• Separate Terms of Reference: Introduced"/>
      </w:tblPr>
      <w:tblGrid>
        <w:gridCol w:w="1620"/>
        <w:gridCol w:w="2778"/>
        <w:gridCol w:w="2650"/>
        <w:gridCol w:w="2035"/>
      </w:tblGrid>
      <w:tr w:rsidR="00EE1E5A" w14:paraId="7CBC8393" w14:textId="77777777" w:rsidTr="007C5153">
        <w:trPr>
          <w:trHeight w:val="473"/>
          <w:tblHeader/>
        </w:trPr>
        <w:tc>
          <w:tcPr>
            <w:tcW w:w="1620" w:type="dxa"/>
            <w:tcBorders>
              <w:left w:val="single" w:sz="12" w:space="0" w:color="003399"/>
              <w:bottom w:val="single" w:sz="12" w:space="0" w:color="003399"/>
              <w:right w:val="single" w:sz="12" w:space="0" w:color="003399"/>
            </w:tcBorders>
          </w:tcPr>
          <w:p w14:paraId="38608524" w14:textId="77777777" w:rsidR="00C67E83" w:rsidRDefault="00C67E83" w:rsidP="003C58C0">
            <w:pPr>
              <w:pStyle w:val="TableParagraph"/>
              <w:spacing w:line="360" w:lineRule="auto"/>
            </w:pPr>
          </w:p>
        </w:tc>
        <w:tc>
          <w:tcPr>
            <w:tcW w:w="2778" w:type="dxa"/>
            <w:tcBorders>
              <w:left w:val="single" w:sz="12" w:space="0" w:color="003399"/>
              <w:bottom w:val="single" w:sz="12" w:space="0" w:color="003399"/>
              <w:right w:val="single" w:sz="12" w:space="0" w:color="003399"/>
            </w:tcBorders>
            <w:vAlign w:val="center"/>
          </w:tcPr>
          <w:p w14:paraId="69E08A25" w14:textId="77777777" w:rsidR="00C67E83" w:rsidRDefault="00C67E83" w:rsidP="003C58C0">
            <w:pPr>
              <w:pStyle w:val="TableParagraph"/>
              <w:spacing w:line="360" w:lineRule="auto"/>
            </w:pPr>
            <w:r w:rsidRPr="00C67E83">
              <w:t>Regular Project</w:t>
            </w:r>
          </w:p>
        </w:tc>
        <w:tc>
          <w:tcPr>
            <w:tcW w:w="2650" w:type="dxa"/>
            <w:tcBorders>
              <w:left w:val="single" w:sz="12" w:space="0" w:color="003399"/>
              <w:bottom w:val="single" w:sz="12" w:space="0" w:color="003399"/>
              <w:right w:val="single" w:sz="12" w:space="0" w:color="003399"/>
            </w:tcBorders>
            <w:vAlign w:val="center"/>
          </w:tcPr>
          <w:p w14:paraId="6620A600" w14:textId="77777777" w:rsidR="00C67E83" w:rsidRDefault="00C67E83" w:rsidP="003C58C0">
            <w:pPr>
              <w:pStyle w:val="TableParagraph"/>
              <w:spacing w:line="360" w:lineRule="auto"/>
            </w:pPr>
            <w:r w:rsidRPr="00C67E83">
              <w:t>Small-scale project</w:t>
            </w:r>
          </w:p>
        </w:tc>
        <w:tc>
          <w:tcPr>
            <w:tcW w:w="2035" w:type="dxa"/>
            <w:tcBorders>
              <w:left w:val="single" w:sz="12" w:space="0" w:color="003399"/>
              <w:bottom w:val="single" w:sz="12" w:space="0" w:color="003399"/>
              <w:right w:val="single" w:sz="12" w:space="0" w:color="003399"/>
            </w:tcBorders>
            <w:vAlign w:val="center"/>
          </w:tcPr>
          <w:p w14:paraId="0D8D31CF" w14:textId="07FB51A7" w:rsidR="00C67E83" w:rsidRDefault="00C67E83" w:rsidP="003C58C0">
            <w:pPr>
              <w:pStyle w:val="TableParagraph"/>
              <w:spacing w:line="360" w:lineRule="auto"/>
            </w:pPr>
            <w:r w:rsidRPr="00C67E83">
              <w:t>Seed Money</w:t>
            </w:r>
            <w:r w:rsidR="00153519">
              <w:t xml:space="preserve"> </w:t>
            </w:r>
            <w:r w:rsidRPr="00C67E83">
              <w:t>scheme</w:t>
            </w:r>
          </w:p>
        </w:tc>
      </w:tr>
      <w:tr w:rsidR="00EE1E5A" w:rsidRPr="00805C22" w14:paraId="2E0E2832" w14:textId="77777777" w:rsidTr="006D531C">
        <w:trPr>
          <w:trHeight w:val="5416"/>
        </w:trPr>
        <w:tc>
          <w:tcPr>
            <w:tcW w:w="1620" w:type="dxa"/>
            <w:tcBorders>
              <w:top w:val="single" w:sz="12" w:space="0" w:color="003399"/>
              <w:left w:val="single" w:sz="12" w:space="0" w:color="003399"/>
              <w:bottom w:val="single" w:sz="12" w:space="0" w:color="003399"/>
              <w:right w:val="single" w:sz="12" w:space="0" w:color="003399"/>
            </w:tcBorders>
            <w:vAlign w:val="center"/>
          </w:tcPr>
          <w:p w14:paraId="67109323" w14:textId="17D593EF" w:rsidR="00C67E83" w:rsidRDefault="00C67E83" w:rsidP="003C58C0">
            <w:pPr>
              <w:pStyle w:val="TableParagraph"/>
              <w:spacing w:line="360" w:lineRule="auto"/>
            </w:pPr>
            <w:r w:rsidRPr="00B615AF">
              <w:rPr>
                <w:w w:val="105"/>
              </w:rPr>
              <w:t>Objective</w:t>
            </w:r>
          </w:p>
        </w:tc>
        <w:tc>
          <w:tcPr>
            <w:tcW w:w="2778" w:type="dxa"/>
            <w:tcBorders>
              <w:top w:val="single" w:sz="12" w:space="0" w:color="003399"/>
              <w:left w:val="single" w:sz="12" w:space="0" w:color="003399"/>
              <w:bottom w:val="single" w:sz="12" w:space="0" w:color="003399"/>
              <w:right w:val="single" w:sz="12" w:space="0" w:color="003399"/>
            </w:tcBorders>
          </w:tcPr>
          <w:p w14:paraId="01E9A5EC" w14:textId="44E5E856" w:rsidR="00C67E83" w:rsidRPr="00334263" w:rsidRDefault="00C67E83" w:rsidP="003C58C0">
            <w:pPr>
              <w:pStyle w:val="TableParagraph"/>
              <w:spacing w:line="360" w:lineRule="auto"/>
              <w:rPr>
                <w:color w:val="212121"/>
                <w:spacing w:val="-2"/>
                <w:w w:val="105"/>
              </w:rPr>
            </w:pPr>
            <w:r w:rsidRPr="00EE1E5A">
              <w:t>To address identified challenges and needs of the Programme Area in a complex way in the chosen sector.</w:t>
            </w:r>
            <w:r w:rsidRPr="00425BF6">
              <w:rPr>
                <w:rFonts w:ascii="Segoe UI" w:hAnsi="Segoe UI" w:cs="Segoe UI"/>
                <w:lang w:val="en-GB"/>
              </w:rPr>
              <w:t xml:space="preserve"> </w:t>
            </w:r>
          </w:p>
        </w:tc>
        <w:tc>
          <w:tcPr>
            <w:tcW w:w="2650" w:type="dxa"/>
            <w:tcBorders>
              <w:top w:val="single" w:sz="12" w:space="0" w:color="003399"/>
              <w:left w:val="single" w:sz="12" w:space="0" w:color="003399"/>
              <w:bottom w:val="single" w:sz="12" w:space="0" w:color="003399"/>
              <w:right w:val="single" w:sz="12" w:space="0" w:color="003399"/>
            </w:tcBorders>
          </w:tcPr>
          <w:p w14:paraId="4D5708E1" w14:textId="77777777" w:rsidR="00EE1E5A" w:rsidRDefault="00C67E83" w:rsidP="003C58C0">
            <w:pPr>
              <w:pStyle w:val="TableParagraph"/>
              <w:spacing w:line="360" w:lineRule="auto"/>
            </w:pPr>
            <w:r w:rsidRPr="00EE1E5A">
              <w:t>To address the challenges and needs of the Programme Area, for example by facilitating the involvement of the following actors to cross-border cooperation:</w:t>
            </w:r>
          </w:p>
          <w:p w14:paraId="3C22577E" w14:textId="77777777" w:rsidR="00EE1E5A" w:rsidRDefault="00C67E83" w:rsidP="003C58C0">
            <w:pPr>
              <w:pStyle w:val="TableParagraph"/>
              <w:numPr>
                <w:ilvl w:val="0"/>
                <w:numId w:val="49"/>
              </w:numPr>
              <w:spacing w:line="360" w:lineRule="auto"/>
            </w:pPr>
            <w:r w:rsidRPr="00EE1E5A">
              <w:t>NGOs</w:t>
            </w:r>
          </w:p>
          <w:p w14:paraId="7B5B18DB" w14:textId="77777777" w:rsidR="00EE1E5A" w:rsidRDefault="00C67E83" w:rsidP="003C58C0">
            <w:pPr>
              <w:pStyle w:val="TableParagraph"/>
              <w:numPr>
                <w:ilvl w:val="0"/>
                <w:numId w:val="49"/>
              </w:numPr>
              <w:spacing w:line="360" w:lineRule="auto"/>
            </w:pPr>
            <w:r w:rsidRPr="00EE1E5A">
              <w:t>small and not experienced organisations,</w:t>
            </w:r>
          </w:p>
          <w:p w14:paraId="27F54A4A" w14:textId="77777777" w:rsidR="00EE1E5A" w:rsidRDefault="00C67E83" w:rsidP="003C58C0">
            <w:pPr>
              <w:pStyle w:val="TableParagraph"/>
              <w:numPr>
                <w:ilvl w:val="0"/>
                <w:numId w:val="49"/>
              </w:numPr>
              <w:spacing w:line="360" w:lineRule="auto"/>
            </w:pPr>
            <w:r w:rsidRPr="00EE1E5A">
              <w:t>newcomers to the Interreg cooperation</w:t>
            </w:r>
          </w:p>
          <w:p w14:paraId="7B8EFA0A" w14:textId="49939D2E" w:rsidR="00C31845" w:rsidRPr="001855C5" w:rsidRDefault="00C67E83" w:rsidP="003C58C0">
            <w:pPr>
              <w:pStyle w:val="TableParagraph"/>
              <w:numPr>
                <w:ilvl w:val="0"/>
                <w:numId w:val="49"/>
              </w:numPr>
              <w:spacing w:line="360" w:lineRule="auto"/>
            </w:pPr>
            <w:r w:rsidRPr="00EE1E5A">
              <w:t>public institutions from the hinterlands</w:t>
            </w:r>
            <w:r w:rsidR="00EE1E5A" w:rsidRPr="00EE1E5A">
              <w:t>.</w:t>
            </w:r>
          </w:p>
        </w:tc>
        <w:tc>
          <w:tcPr>
            <w:tcW w:w="2035" w:type="dxa"/>
            <w:tcBorders>
              <w:top w:val="single" w:sz="12" w:space="0" w:color="003399"/>
              <w:left w:val="single" w:sz="12" w:space="0" w:color="003399"/>
              <w:bottom w:val="single" w:sz="12" w:space="0" w:color="003399"/>
              <w:right w:val="single" w:sz="12" w:space="0" w:color="003399"/>
            </w:tcBorders>
          </w:tcPr>
          <w:p w14:paraId="371B5164" w14:textId="1F982870" w:rsidR="00C67E83" w:rsidRPr="00EE1E5A" w:rsidRDefault="00C67E83" w:rsidP="003C58C0">
            <w:pPr>
              <w:pStyle w:val="TableParagraph"/>
              <w:spacing w:line="360" w:lineRule="auto"/>
            </w:pPr>
            <w:r w:rsidRPr="00EE1E5A">
              <w:t>To facilitate the preparation of regular project applications to be implemented and financed under the Interreg South Baltic Programme</w:t>
            </w:r>
            <w:r w:rsidR="00552C96">
              <w:t>.</w:t>
            </w:r>
          </w:p>
        </w:tc>
      </w:tr>
      <w:tr w:rsidR="00EE1E5A" w:rsidRPr="00141E13" w14:paraId="2A960B63" w14:textId="77777777" w:rsidTr="006D531C">
        <w:trPr>
          <w:trHeight w:val="558"/>
        </w:trPr>
        <w:tc>
          <w:tcPr>
            <w:tcW w:w="1620" w:type="dxa"/>
            <w:tcBorders>
              <w:top w:val="single" w:sz="12" w:space="0" w:color="003399"/>
              <w:left w:val="single" w:sz="12" w:space="0" w:color="003399"/>
              <w:bottom w:val="single" w:sz="12" w:space="0" w:color="003399"/>
              <w:right w:val="single" w:sz="12" w:space="0" w:color="003399"/>
            </w:tcBorders>
            <w:vAlign w:val="center"/>
          </w:tcPr>
          <w:p w14:paraId="7028C8D9" w14:textId="3FA6D09D" w:rsidR="00C67E83" w:rsidRDefault="00C67E83" w:rsidP="003C58C0">
            <w:pPr>
              <w:pStyle w:val="TableParagraph"/>
              <w:spacing w:line="360" w:lineRule="auto"/>
              <w:rPr>
                <w:w w:val="105"/>
              </w:rPr>
            </w:pPr>
            <w:r w:rsidRPr="00EE1E5A">
              <w:rPr>
                <w:w w:val="105"/>
              </w:rPr>
              <w:t>Duration</w:t>
            </w:r>
            <w:r w:rsidR="00B615AF">
              <w:rPr>
                <w:rStyle w:val="FootnoteReference"/>
                <w:rFonts w:ascii="Open Sans SemiBold"/>
                <w:b/>
                <w:color w:val="003399"/>
                <w:spacing w:val="-2"/>
                <w:w w:val="105"/>
                <w:sz w:val="20"/>
              </w:rPr>
              <w:footnoteReference w:id="17"/>
            </w:r>
          </w:p>
        </w:tc>
        <w:tc>
          <w:tcPr>
            <w:tcW w:w="2778" w:type="dxa"/>
            <w:tcBorders>
              <w:top w:val="single" w:sz="12" w:space="0" w:color="003399"/>
              <w:left w:val="single" w:sz="12" w:space="0" w:color="003399"/>
              <w:bottom w:val="single" w:sz="12" w:space="0" w:color="003399"/>
              <w:right w:val="single" w:sz="12" w:space="0" w:color="003399"/>
            </w:tcBorders>
          </w:tcPr>
          <w:p w14:paraId="67AE1FFF" w14:textId="5D0D0A87" w:rsidR="00C67E83" w:rsidRPr="00EE1E5A" w:rsidRDefault="00C67E83" w:rsidP="003C58C0">
            <w:pPr>
              <w:pStyle w:val="TableParagraph"/>
              <w:spacing w:line="360" w:lineRule="auto"/>
            </w:pPr>
            <w:r w:rsidRPr="00EE1E5A">
              <w:t>Up to 36 months</w:t>
            </w:r>
            <w:r w:rsidR="00B45AD7">
              <w:t>.</w:t>
            </w:r>
          </w:p>
        </w:tc>
        <w:tc>
          <w:tcPr>
            <w:tcW w:w="2650" w:type="dxa"/>
            <w:tcBorders>
              <w:top w:val="single" w:sz="12" w:space="0" w:color="003399"/>
              <w:left w:val="single" w:sz="12" w:space="0" w:color="003399"/>
              <w:bottom w:val="single" w:sz="12" w:space="0" w:color="003399"/>
              <w:right w:val="single" w:sz="12" w:space="0" w:color="003399"/>
            </w:tcBorders>
          </w:tcPr>
          <w:p w14:paraId="1E0E5A85" w14:textId="5859B53B" w:rsidR="00C67E83" w:rsidRPr="00EE1E5A" w:rsidRDefault="00C67E83" w:rsidP="003C58C0">
            <w:pPr>
              <w:pStyle w:val="TableParagraph"/>
              <w:spacing w:line="360" w:lineRule="auto"/>
            </w:pPr>
            <w:r w:rsidRPr="00EE1E5A">
              <w:t>Up to 18 months</w:t>
            </w:r>
            <w:r w:rsidR="00B45AD7">
              <w:t>.</w:t>
            </w:r>
          </w:p>
        </w:tc>
        <w:tc>
          <w:tcPr>
            <w:tcW w:w="2035" w:type="dxa"/>
            <w:tcBorders>
              <w:top w:val="single" w:sz="12" w:space="0" w:color="003399"/>
              <w:left w:val="single" w:sz="12" w:space="0" w:color="003399"/>
              <w:bottom w:val="single" w:sz="12" w:space="0" w:color="003399"/>
              <w:right w:val="single" w:sz="12" w:space="0" w:color="003399"/>
            </w:tcBorders>
          </w:tcPr>
          <w:p w14:paraId="27B374D6" w14:textId="048A909F" w:rsidR="00C67E83" w:rsidRPr="00EE1E5A" w:rsidRDefault="00C67E83" w:rsidP="003C58C0">
            <w:pPr>
              <w:pStyle w:val="TableParagraph"/>
              <w:spacing w:line="360" w:lineRule="auto"/>
            </w:pPr>
            <w:r w:rsidRPr="00EE1E5A">
              <w:t>Up to 6 months</w:t>
            </w:r>
            <w:r w:rsidR="00B45AD7">
              <w:t>.</w:t>
            </w:r>
          </w:p>
        </w:tc>
      </w:tr>
      <w:tr w:rsidR="00C67E83" w:rsidRPr="00805C22" w14:paraId="749A1F4D" w14:textId="77777777" w:rsidTr="006D531C">
        <w:trPr>
          <w:trHeight w:val="4110"/>
        </w:trPr>
        <w:tc>
          <w:tcPr>
            <w:tcW w:w="1620" w:type="dxa"/>
            <w:tcBorders>
              <w:top w:val="single" w:sz="12" w:space="0" w:color="003399"/>
              <w:left w:val="single" w:sz="12" w:space="0" w:color="003399"/>
              <w:bottom w:val="single" w:sz="12" w:space="0" w:color="003399"/>
              <w:right w:val="single" w:sz="12" w:space="0" w:color="003399"/>
            </w:tcBorders>
            <w:vAlign w:val="center"/>
          </w:tcPr>
          <w:p w14:paraId="13A12B31" w14:textId="445AFA85" w:rsidR="00C67E83" w:rsidRDefault="00C67E83" w:rsidP="003C58C0">
            <w:pPr>
              <w:pStyle w:val="TableParagraph"/>
              <w:spacing w:line="360" w:lineRule="auto"/>
              <w:rPr>
                <w:w w:val="105"/>
              </w:rPr>
            </w:pPr>
            <w:r w:rsidRPr="00EE1E5A">
              <w:rPr>
                <w:w w:val="105"/>
              </w:rPr>
              <w:lastRenderedPageBreak/>
              <w:t xml:space="preserve">Total eligible budget </w:t>
            </w:r>
          </w:p>
        </w:tc>
        <w:tc>
          <w:tcPr>
            <w:tcW w:w="2778" w:type="dxa"/>
            <w:tcBorders>
              <w:top w:val="single" w:sz="12" w:space="0" w:color="003399"/>
              <w:left w:val="single" w:sz="12" w:space="0" w:color="003399"/>
              <w:bottom w:val="single" w:sz="12" w:space="0" w:color="003399"/>
              <w:right w:val="single" w:sz="12" w:space="0" w:color="003399"/>
            </w:tcBorders>
          </w:tcPr>
          <w:p w14:paraId="2902AC24" w14:textId="48F815F3" w:rsidR="00C31845" w:rsidRPr="00EE1E5A" w:rsidRDefault="00C67E83" w:rsidP="003C58C0">
            <w:pPr>
              <w:pStyle w:val="TableParagraph"/>
              <w:spacing w:line="360" w:lineRule="auto"/>
            </w:pPr>
            <w:r w:rsidRPr="00EE1E5A">
              <w:t>Recommended between EUR 1</w:t>
            </w:r>
            <w:r w:rsidR="00F70AD5">
              <w:t xml:space="preserve"> </w:t>
            </w:r>
            <w:r w:rsidRPr="00EE1E5A">
              <w:t>000</w:t>
            </w:r>
            <w:r w:rsidR="00F70AD5">
              <w:t xml:space="preserve"> </w:t>
            </w:r>
            <w:r w:rsidRPr="00EE1E5A">
              <w:t>000 and EUR </w:t>
            </w:r>
            <w:r w:rsidR="00F70AD5">
              <w:t xml:space="preserve">2 </w:t>
            </w:r>
            <w:r w:rsidRPr="00EE1E5A">
              <w:t>000</w:t>
            </w:r>
            <w:r w:rsidR="00F70AD5">
              <w:t xml:space="preserve"> </w:t>
            </w:r>
            <w:r w:rsidRPr="00EE1E5A">
              <w:t>000. The project budget may differ from the recommendation if it is justified by the planned activities, outputs or size of the partnership. In no case shall the total eligible budget exceed</w:t>
            </w:r>
            <w:r w:rsidR="00DD3472">
              <w:t xml:space="preserve"> EUR</w:t>
            </w:r>
            <w:r w:rsidRPr="00EE1E5A">
              <w:t xml:space="preserve"> 5</w:t>
            </w:r>
            <w:r w:rsidR="00DD3472">
              <w:t xml:space="preserve"> </w:t>
            </w:r>
            <w:r w:rsidRPr="00EE1E5A">
              <w:t>000</w:t>
            </w:r>
            <w:r w:rsidR="00DD3472">
              <w:t xml:space="preserve"> </w:t>
            </w:r>
            <w:r w:rsidRPr="00EE1E5A">
              <w:t>000.</w:t>
            </w:r>
          </w:p>
        </w:tc>
        <w:tc>
          <w:tcPr>
            <w:tcW w:w="2650" w:type="dxa"/>
            <w:tcBorders>
              <w:top w:val="single" w:sz="12" w:space="0" w:color="003399"/>
              <w:left w:val="single" w:sz="12" w:space="0" w:color="003399"/>
              <w:bottom w:val="single" w:sz="12" w:space="0" w:color="003399"/>
              <w:right w:val="single" w:sz="12" w:space="0" w:color="003399"/>
            </w:tcBorders>
          </w:tcPr>
          <w:p w14:paraId="6692B841" w14:textId="2AA09784" w:rsidR="00C67E83" w:rsidRPr="00EE1E5A" w:rsidRDefault="00C67E83" w:rsidP="003C58C0">
            <w:pPr>
              <w:pStyle w:val="TableParagraph"/>
              <w:spacing w:line="360" w:lineRule="auto"/>
            </w:pPr>
            <w:r w:rsidRPr="00EE1E5A">
              <w:t>Up to EUR 200</w:t>
            </w:r>
            <w:r w:rsidR="00DD3472">
              <w:t xml:space="preserve"> </w:t>
            </w:r>
            <w:r w:rsidRPr="00EE1E5A">
              <w:t>000</w:t>
            </w:r>
            <w:r w:rsidR="00077345">
              <w:t>.</w:t>
            </w:r>
          </w:p>
        </w:tc>
        <w:tc>
          <w:tcPr>
            <w:tcW w:w="2035" w:type="dxa"/>
            <w:tcBorders>
              <w:top w:val="single" w:sz="12" w:space="0" w:color="003399"/>
              <w:left w:val="single" w:sz="12" w:space="0" w:color="003399"/>
              <w:bottom w:val="single" w:sz="12" w:space="0" w:color="003399"/>
              <w:right w:val="single" w:sz="12" w:space="0" w:color="003399"/>
            </w:tcBorders>
          </w:tcPr>
          <w:p w14:paraId="25B38FA3" w14:textId="52613177" w:rsidR="00C67E83" w:rsidRPr="00EE1E5A" w:rsidRDefault="00C67E83" w:rsidP="003C58C0">
            <w:pPr>
              <w:pStyle w:val="TableParagraph"/>
              <w:spacing w:line="360" w:lineRule="auto"/>
            </w:pPr>
            <w:r w:rsidRPr="00EE1E5A">
              <w:t>To be specified in the Terms of Reference</w:t>
            </w:r>
            <w:r w:rsidR="00077345">
              <w:t>.</w:t>
            </w:r>
          </w:p>
        </w:tc>
      </w:tr>
      <w:tr w:rsidR="00EE1E5A" w:rsidRPr="00805C22" w14:paraId="1FB0F6EF" w14:textId="77777777" w:rsidTr="006D531C">
        <w:trPr>
          <w:trHeight w:val="2343"/>
        </w:trPr>
        <w:tc>
          <w:tcPr>
            <w:tcW w:w="1620" w:type="dxa"/>
            <w:vMerge w:val="restart"/>
            <w:tcBorders>
              <w:top w:val="single" w:sz="12" w:space="0" w:color="003399"/>
              <w:left w:val="single" w:sz="12" w:space="0" w:color="003399"/>
              <w:right w:val="single" w:sz="12" w:space="0" w:color="003399"/>
            </w:tcBorders>
            <w:vAlign w:val="center"/>
          </w:tcPr>
          <w:p w14:paraId="6FF47177" w14:textId="221EC9C0" w:rsidR="00EE1E5A" w:rsidRDefault="00EE1E5A" w:rsidP="003C58C0">
            <w:pPr>
              <w:pStyle w:val="TableParagraph"/>
              <w:spacing w:line="360" w:lineRule="auto"/>
              <w:rPr>
                <w:w w:val="105"/>
              </w:rPr>
            </w:pPr>
            <w:r w:rsidRPr="00EE1E5A">
              <w:rPr>
                <w:w w:val="105"/>
              </w:rPr>
              <w:t>Partnership</w:t>
            </w:r>
          </w:p>
        </w:tc>
        <w:tc>
          <w:tcPr>
            <w:tcW w:w="7463" w:type="dxa"/>
            <w:gridSpan w:val="3"/>
            <w:tcBorders>
              <w:top w:val="single" w:sz="12" w:space="0" w:color="003399"/>
              <w:left w:val="single" w:sz="12" w:space="0" w:color="003399"/>
              <w:bottom w:val="single" w:sz="12" w:space="0" w:color="003399"/>
              <w:right w:val="single" w:sz="12" w:space="0" w:color="003399"/>
            </w:tcBorders>
          </w:tcPr>
          <w:p w14:paraId="3D441582" w14:textId="77777777" w:rsidR="008455B0" w:rsidRPr="008455B0" w:rsidRDefault="00EE1E5A" w:rsidP="003C58C0">
            <w:pPr>
              <w:spacing w:line="360" w:lineRule="auto"/>
            </w:pPr>
            <w:r w:rsidRPr="00153519">
              <w:rPr>
                <w:rFonts w:ascii="Open Sans SemiBold" w:eastAsia="Open Sans SemiBold" w:hAnsi="Open Sans SemiBold" w:cs="Open Sans SemiBold"/>
                <w:bCs/>
                <w:color w:val="003399"/>
              </w:rPr>
              <w:t>Minimum requirement:</w:t>
            </w:r>
            <w:r w:rsidRPr="00EE1E5A">
              <w:t xml:space="preserve"> </w:t>
            </w:r>
            <w:r w:rsidRPr="008455B0">
              <w:t>Two partners from the Programme Area from two different Member States.</w:t>
            </w:r>
          </w:p>
          <w:p w14:paraId="1992DE3A" w14:textId="1E7D0561" w:rsidR="00EE1E5A" w:rsidRPr="008455B0" w:rsidRDefault="00EE1E5A" w:rsidP="003C58C0">
            <w:pPr>
              <w:spacing w:line="360" w:lineRule="auto"/>
              <w:rPr>
                <w:rFonts w:eastAsia="Open Sans" w:cs="Open Sans"/>
              </w:rPr>
            </w:pPr>
            <w:r w:rsidRPr="008455B0">
              <w:rPr>
                <w:rFonts w:eastAsia="Open Sans" w:cs="Open Sans"/>
              </w:rPr>
              <w:t xml:space="preserve">The Programme </w:t>
            </w:r>
            <w:r w:rsidRPr="008455B0">
              <w:t>strongly emphasises</w:t>
            </w:r>
            <w:r w:rsidRPr="008455B0">
              <w:rPr>
                <w:rFonts w:eastAsia="Open Sans" w:cs="Open Sans"/>
              </w:rPr>
              <w:t xml:space="preserve"> that projects involving project partners from the Programme area from </w:t>
            </w:r>
            <w:r w:rsidRPr="008455B0">
              <w:t>only two</w:t>
            </w:r>
            <w:r w:rsidRPr="008455B0">
              <w:rPr>
                <w:rFonts w:eastAsia="Open Sans" w:cs="Open Sans"/>
              </w:rPr>
              <w:t xml:space="preserve"> Member States are </w:t>
            </w:r>
            <w:r w:rsidRPr="008455B0">
              <w:t>not the prime target and can be funded only in exceptional and well justified cases.</w:t>
            </w:r>
          </w:p>
          <w:p w14:paraId="58466581" w14:textId="43B427CB" w:rsidR="00C31845" w:rsidRPr="00EE1E5A" w:rsidRDefault="00EE1E5A" w:rsidP="003C58C0">
            <w:pPr>
              <w:spacing w:line="360" w:lineRule="auto"/>
            </w:pPr>
            <w:r w:rsidRPr="008455B0">
              <w:t>As general rule, the size and composition of the partnership shall correspond to the planned project activities, therefore the number of partners in individual projects may differ from the recommended project size.</w:t>
            </w:r>
          </w:p>
        </w:tc>
      </w:tr>
      <w:tr w:rsidR="00EE1E5A" w:rsidRPr="00805C22" w14:paraId="049043B9" w14:textId="77777777" w:rsidTr="006D531C">
        <w:trPr>
          <w:trHeight w:val="2041"/>
        </w:trPr>
        <w:tc>
          <w:tcPr>
            <w:tcW w:w="1620" w:type="dxa"/>
            <w:vMerge/>
            <w:tcBorders>
              <w:left w:val="single" w:sz="12" w:space="0" w:color="003399"/>
              <w:bottom w:val="single" w:sz="12" w:space="0" w:color="003399"/>
              <w:right w:val="single" w:sz="12" w:space="0" w:color="003399"/>
            </w:tcBorders>
            <w:vAlign w:val="center"/>
          </w:tcPr>
          <w:p w14:paraId="62FDE5F8" w14:textId="77777777" w:rsidR="00EE1E5A" w:rsidRDefault="00EE1E5A" w:rsidP="003C58C0">
            <w:pPr>
              <w:pStyle w:val="TableParagraph"/>
              <w:spacing w:line="360" w:lineRule="auto"/>
              <w:rPr>
                <w:w w:val="105"/>
              </w:rPr>
            </w:pPr>
          </w:p>
        </w:tc>
        <w:tc>
          <w:tcPr>
            <w:tcW w:w="2778" w:type="dxa"/>
            <w:tcBorders>
              <w:top w:val="single" w:sz="12" w:space="0" w:color="003399"/>
              <w:left w:val="single" w:sz="12" w:space="0" w:color="003399"/>
              <w:bottom w:val="single" w:sz="12" w:space="0" w:color="003399"/>
              <w:right w:val="single" w:sz="12" w:space="0" w:color="003399"/>
            </w:tcBorders>
          </w:tcPr>
          <w:p w14:paraId="416C4F4F" w14:textId="7DEAA8C4" w:rsidR="00C31845" w:rsidRPr="00EE1E5A" w:rsidRDefault="00EE1E5A" w:rsidP="003C58C0">
            <w:pPr>
              <w:pStyle w:val="TableParagraph"/>
              <w:spacing w:line="360" w:lineRule="auto"/>
            </w:pPr>
            <w:r w:rsidRPr="00EE1E5A">
              <w:t xml:space="preserve">Main focus is on multilateral cooperation. Recommended average project size is 6–8 project partners. </w:t>
            </w:r>
          </w:p>
        </w:tc>
        <w:tc>
          <w:tcPr>
            <w:tcW w:w="2650" w:type="dxa"/>
            <w:tcBorders>
              <w:top w:val="single" w:sz="12" w:space="0" w:color="003399"/>
              <w:left w:val="single" w:sz="12" w:space="0" w:color="003399"/>
              <w:bottom w:val="single" w:sz="12" w:space="0" w:color="003399"/>
              <w:right w:val="single" w:sz="12" w:space="0" w:color="003399"/>
            </w:tcBorders>
          </w:tcPr>
          <w:p w14:paraId="732B58F8" w14:textId="1305467B" w:rsidR="00EE1E5A" w:rsidRPr="00EE1E5A" w:rsidRDefault="00EE1E5A" w:rsidP="003C58C0">
            <w:pPr>
              <w:pStyle w:val="TableParagraph"/>
              <w:spacing w:line="360" w:lineRule="auto"/>
            </w:pPr>
            <w:r w:rsidRPr="00EE1E5A">
              <w:t xml:space="preserve">Main focus is on multilateral cooperation. Recommended average project size is 4–6 project partners. </w:t>
            </w:r>
          </w:p>
        </w:tc>
        <w:tc>
          <w:tcPr>
            <w:tcW w:w="2035" w:type="dxa"/>
            <w:tcBorders>
              <w:top w:val="single" w:sz="12" w:space="0" w:color="003399"/>
              <w:left w:val="single" w:sz="12" w:space="0" w:color="003399"/>
              <w:bottom w:val="single" w:sz="12" w:space="0" w:color="003399"/>
              <w:right w:val="single" w:sz="12" w:space="0" w:color="003399"/>
            </w:tcBorders>
          </w:tcPr>
          <w:p w14:paraId="6101290A" w14:textId="4C6DA9A2" w:rsidR="00EE1E5A" w:rsidRPr="00EE1E5A" w:rsidRDefault="00EE1E5A" w:rsidP="003C58C0">
            <w:pPr>
              <w:pStyle w:val="TableParagraph"/>
              <w:spacing w:line="360" w:lineRule="auto"/>
            </w:pPr>
            <w:r w:rsidRPr="00EE1E5A">
              <w:t>The number of partners may only exceed 6 in well justified cases.</w:t>
            </w:r>
          </w:p>
        </w:tc>
      </w:tr>
      <w:tr w:rsidR="00C67E83" w:rsidRPr="00805C22" w14:paraId="7FFAF279" w14:textId="77777777" w:rsidTr="006D531C">
        <w:trPr>
          <w:trHeight w:val="2670"/>
        </w:trPr>
        <w:tc>
          <w:tcPr>
            <w:tcW w:w="1620" w:type="dxa"/>
            <w:tcBorders>
              <w:top w:val="single" w:sz="12" w:space="0" w:color="003399"/>
              <w:left w:val="single" w:sz="12" w:space="0" w:color="003399"/>
              <w:bottom w:val="single" w:sz="12" w:space="0" w:color="003399"/>
              <w:right w:val="single" w:sz="12" w:space="0" w:color="003399"/>
            </w:tcBorders>
            <w:vAlign w:val="center"/>
          </w:tcPr>
          <w:p w14:paraId="2D82B094" w14:textId="75ACD5BD" w:rsidR="00C67E83" w:rsidRDefault="00C67E83" w:rsidP="003C58C0">
            <w:pPr>
              <w:pStyle w:val="TableParagraph"/>
              <w:spacing w:line="360" w:lineRule="auto"/>
              <w:rPr>
                <w:w w:val="105"/>
              </w:rPr>
            </w:pPr>
            <w:r w:rsidRPr="00EE1E5A">
              <w:rPr>
                <w:w w:val="105"/>
              </w:rPr>
              <w:t>Intervention logic</w:t>
            </w:r>
          </w:p>
        </w:tc>
        <w:tc>
          <w:tcPr>
            <w:tcW w:w="2778" w:type="dxa"/>
            <w:tcBorders>
              <w:top w:val="single" w:sz="12" w:space="0" w:color="003399"/>
              <w:left w:val="single" w:sz="12" w:space="0" w:color="003399"/>
              <w:bottom w:val="single" w:sz="12" w:space="0" w:color="003399"/>
              <w:right w:val="single" w:sz="12" w:space="0" w:color="003399"/>
            </w:tcBorders>
          </w:tcPr>
          <w:p w14:paraId="09BCE33A" w14:textId="0290A089" w:rsidR="00C67E83" w:rsidRPr="00EE1E5A" w:rsidRDefault="00C67E83" w:rsidP="003C58C0">
            <w:pPr>
              <w:pStyle w:val="TableParagraph"/>
              <w:spacing w:line="360" w:lineRule="auto"/>
            </w:pPr>
            <w:r w:rsidRPr="00EE1E5A">
              <w:t xml:space="preserve">The project should contribute to a set of relevant Programme output and result indicators. </w:t>
            </w:r>
          </w:p>
        </w:tc>
        <w:tc>
          <w:tcPr>
            <w:tcW w:w="2650" w:type="dxa"/>
            <w:tcBorders>
              <w:top w:val="single" w:sz="12" w:space="0" w:color="003399"/>
              <w:left w:val="single" w:sz="12" w:space="0" w:color="003399"/>
              <w:bottom w:val="single" w:sz="12" w:space="0" w:color="003399"/>
              <w:right w:val="single" w:sz="12" w:space="0" w:color="003399"/>
            </w:tcBorders>
          </w:tcPr>
          <w:p w14:paraId="2E65EA29" w14:textId="44A15FF2" w:rsidR="00C31845" w:rsidRPr="00EE1E5A" w:rsidRDefault="00C67E83" w:rsidP="003C58C0">
            <w:pPr>
              <w:pStyle w:val="TableParagraph"/>
              <w:spacing w:line="360" w:lineRule="auto"/>
            </w:pPr>
            <w:r w:rsidRPr="00EE1E5A">
              <w:t xml:space="preserve">The project should contribute to relevant Programme output and result indicators. Considering the project size, the number of selected indicators may be limited compared to regular projects. </w:t>
            </w:r>
          </w:p>
        </w:tc>
        <w:tc>
          <w:tcPr>
            <w:tcW w:w="2035" w:type="dxa"/>
            <w:tcBorders>
              <w:top w:val="single" w:sz="12" w:space="0" w:color="003399"/>
              <w:left w:val="single" w:sz="12" w:space="0" w:color="003399"/>
              <w:bottom w:val="single" w:sz="12" w:space="0" w:color="003399"/>
              <w:right w:val="single" w:sz="12" w:space="0" w:color="003399"/>
            </w:tcBorders>
          </w:tcPr>
          <w:p w14:paraId="16D4E251" w14:textId="0E2B167B" w:rsidR="00C67E83" w:rsidRPr="00EE1E5A" w:rsidRDefault="00C67E83" w:rsidP="003C58C0">
            <w:pPr>
              <w:pStyle w:val="TableParagraph"/>
              <w:spacing w:line="360" w:lineRule="auto"/>
            </w:pPr>
            <w:r w:rsidRPr="00EE1E5A">
              <w:t xml:space="preserve">Specific outputs are defined in the Terms of Reference. </w:t>
            </w:r>
          </w:p>
        </w:tc>
      </w:tr>
      <w:tr w:rsidR="00C67E83" w:rsidRPr="00805C22" w14:paraId="79486C18" w14:textId="77777777" w:rsidTr="006D531C">
        <w:trPr>
          <w:trHeight w:val="2134"/>
        </w:trPr>
        <w:tc>
          <w:tcPr>
            <w:tcW w:w="1620" w:type="dxa"/>
            <w:tcBorders>
              <w:top w:val="single" w:sz="12" w:space="0" w:color="003399"/>
              <w:left w:val="single" w:sz="12" w:space="0" w:color="003399"/>
              <w:bottom w:val="single" w:sz="12" w:space="0" w:color="003399"/>
              <w:right w:val="single" w:sz="12" w:space="0" w:color="003399"/>
            </w:tcBorders>
            <w:vAlign w:val="center"/>
          </w:tcPr>
          <w:p w14:paraId="5934FCDF" w14:textId="260A137E" w:rsidR="00C67E83" w:rsidRDefault="00C67E83" w:rsidP="003C58C0">
            <w:pPr>
              <w:pStyle w:val="TableParagraph"/>
              <w:spacing w:line="360" w:lineRule="auto"/>
              <w:rPr>
                <w:w w:val="105"/>
              </w:rPr>
            </w:pPr>
            <w:r w:rsidRPr="00C67E83">
              <w:t>Simplification Measures</w:t>
            </w:r>
          </w:p>
        </w:tc>
        <w:tc>
          <w:tcPr>
            <w:tcW w:w="2778" w:type="dxa"/>
            <w:tcBorders>
              <w:top w:val="single" w:sz="12" w:space="0" w:color="003399"/>
              <w:left w:val="single" w:sz="12" w:space="0" w:color="003399"/>
              <w:bottom w:val="single" w:sz="12" w:space="0" w:color="003399"/>
              <w:right w:val="single" w:sz="12" w:space="0" w:color="003399"/>
            </w:tcBorders>
          </w:tcPr>
          <w:p w14:paraId="60D5ED06" w14:textId="5603D7F4" w:rsidR="00C67E83" w:rsidRPr="00EE1E5A" w:rsidRDefault="00C67E83" w:rsidP="003C58C0">
            <w:pPr>
              <w:pStyle w:val="TableParagraph"/>
              <w:spacing w:line="360" w:lineRule="auto"/>
            </w:pPr>
            <w:r w:rsidRPr="00EE1E5A">
              <w:t>Simplified eligibility rules, as specified in Chapter IV General rules on the eligibility of costs and budget structure</w:t>
            </w:r>
            <w:r w:rsidR="00B45AD7">
              <w:t>.</w:t>
            </w:r>
          </w:p>
        </w:tc>
        <w:tc>
          <w:tcPr>
            <w:tcW w:w="2650" w:type="dxa"/>
            <w:tcBorders>
              <w:top w:val="single" w:sz="12" w:space="0" w:color="003399"/>
              <w:left w:val="single" w:sz="12" w:space="0" w:color="003399"/>
              <w:bottom w:val="single" w:sz="12" w:space="0" w:color="003399"/>
              <w:right w:val="single" w:sz="12" w:space="0" w:color="003399"/>
            </w:tcBorders>
          </w:tcPr>
          <w:p w14:paraId="09F2DC3F" w14:textId="48F6F1A7" w:rsidR="00C31845" w:rsidRPr="00EE1E5A" w:rsidRDefault="00C67E83" w:rsidP="003C58C0">
            <w:pPr>
              <w:pStyle w:val="TableParagraph"/>
              <w:spacing w:line="360" w:lineRule="auto"/>
            </w:pPr>
            <w:r w:rsidRPr="00EE1E5A">
              <w:t>Simplified eligibility rules specified in the dedicated Terms of Reference and in Chapter IV General rules on the eligibility of costs and budget structure.</w:t>
            </w:r>
          </w:p>
        </w:tc>
        <w:tc>
          <w:tcPr>
            <w:tcW w:w="2035" w:type="dxa"/>
            <w:tcBorders>
              <w:top w:val="single" w:sz="12" w:space="0" w:color="003399"/>
              <w:left w:val="single" w:sz="12" w:space="0" w:color="003399"/>
              <w:bottom w:val="single" w:sz="12" w:space="0" w:color="003399"/>
              <w:right w:val="single" w:sz="12" w:space="0" w:color="003399"/>
            </w:tcBorders>
          </w:tcPr>
          <w:p w14:paraId="44F800ED" w14:textId="3D61CDA4" w:rsidR="00C67E83" w:rsidRPr="00EE1E5A" w:rsidRDefault="00C67E83" w:rsidP="003C58C0">
            <w:pPr>
              <w:pStyle w:val="TableParagraph"/>
              <w:spacing w:line="360" w:lineRule="auto"/>
            </w:pPr>
            <w:r w:rsidRPr="00EE1E5A">
              <w:t>Simplified eligibility rules specified in the dedicated Terms of Reference.</w:t>
            </w:r>
          </w:p>
        </w:tc>
      </w:tr>
      <w:tr w:rsidR="00C67E83" w:rsidRPr="00C67E83" w14:paraId="006452C4" w14:textId="77777777" w:rsidTr="006D531C">
        <w:trPr>
          <w:trHeight w:val="858"/>
        </w:trPr>
        <w:tc>
          <w:tcPr>
            <w:tcW w:w="1620" w:type="dxa"/>
            <w:tcBorders>
              <w:top w:val="single" w:sz="12" w:space="0" w:color="003399"/>
              <w:left w:val="single" w:sz="12" w:space="0" w:color="003399"/>
              <w:bottom w:val="single" w:sz="12" w:space="0" w:color="003399"/>
              <w:right w:val="single" w:sz="12" w:space="0" w:color="003399"/>
            </w:tcBorders>
            <w:vAlign w:val="center"/>
          </w:tcPr>
          <w:p w14:paraId="3C95FEDE" w14:textId="42158BD6" w:rsidR="00C67E83" w:rsidRPr="00C67E83" w:rsidRDefault="00C67E83" w:rsidP="003C58C0">
            <w:pPr>
              <w:pStyle w:val="TableParagraph"/>
              <w:spacing w:line="360" w:lineRule="auto"/>
            </w:pPr>
            <w:r w:rsidRPr="00C67E83">
              <w:lastRenderedPageBreak/>
              <w:t>Separate</w:t>
            </w:r>
            <w:r w:rsidR="00153519">
              <w:t xml:space="preserve"> </w:t>
            </w:r>
            <w:r w:rsidRPr="00C67E83">
              <w:t>Terms of Reference</w:t>
            </w:r>
          </w:p>
        </w:tc>
        <w:tc>
          <w:tcPr>
            <w:tcW w:w="2778" w:type="dxa"/>
            <w:tcBorders>
              <w:top w:val="single" w:sz="12" w:space="0" w:color="003399"/>
              <w:left w:val="single" w:sz="12" w:space="0" w:color="003399"/>
              <w:bottom w:val="single" w:sz="12" w:space="0" w:color="003399"/>
              <w:right w:val="single" w:sz="12" w:space="0" w:color="003399"/>
            </w:tcBorders>
          </w:tcPr>
          <w:p w14:paraId="615F67B5" w14:textId="31CE64F5" w:rsidR="00C67E83" w:rsidRPr="00EE1E5A" w:rsidRDefault="00C67E83" w:rsidP="003C58C0">
            <w:pPr>
              <w:pStyle w:val="TableParagraph"/>
              <w:spacing w:line="360" w:lineRule="auto"/>
            </w:pPr>
            <w:r w:rsidRPr="00EE1E5A">
              <w:t>Not introduced</w:t>
            </w:r>
            <w:r w:rsidR="00B45AD7">
              <w:t>.</w:t>
            </w:r>
          </w:p>
        </w:tc>
        <w:tc>
          <w:tcPr>
            <w:tcW w:w="2650" w:type="dxa"/>
            <w:tcBorders>
              <w:top w:val="single" w:sz="12" w:space="0" w:color="003399"/>
              <w:left w:val="single" w:sz="12" w:space="0" w:color="003399"/>
              <w:bottom w:val="single" w:sz="12" w:space="0" w:color="003399"/>
              <w:right w:val="single" w:sz="12" w:space="0" w:color="003399"/>
            </w:tcBorders>
          </w:tcPr>
          <w:p w14:paraId="241A7B86" w14:textId="6E0ADD08" w:rsidR="00C67E83" w:rsidRPr="00EE1E5A" w:rsidRDefault="00C67E83" w:rsidP="003C58C0">
            <w:pPr>
              <w:pStyle w:val="TableParagraph"/>
              <w:spacing w:line="360" w:lineRule="auto"/>
            </w:pPr>
            <w:r w:rsidRPr="00EE1E5A">
              <w:t>Introduced</w:t>
            </w:r>
            <w:r w:rsidR="00B45AD7">
              <w:t>.</w:t>
            </w:r>
          </w:p>
        </w:tc>
        <w:tc>
          <w:tcPr>
            <w:tcW w:w="2035" w:type="dxa"/>
            <w:tcBorders>
              <w:top w:val="single" w:sz="12" w:space="0" w:color="003399"/>
              <w:left w:val="single" w:sz="12" w:space="0" w:color="003399"/>
              <w:bottom w:val="single" w:sz="12" w:space="0" w:color="003399"/>
              <w:right w:val="single" w:sz="12" w:space="0" w:color="003399"/>
            </w:tcBorders>
          </w:tcPr>
          <w:p w14:paraId="27018552" w14:textId="4208FE26" w:rsidR="00C67E83" w:rsidRPr="00EE1E5A" w:rsidRDefault="00C67E83" w:rsidP="003C58C0">
            <w:pPr>
              <w:pStyle w:val="TableParagraph"/>
              <w:spacing w:line="360" w:lineRule="auto"/>
            </w:pPr>
            <w:r w:rsidRPr="00EE1E5A">
              <w:t>Introduced</w:t>
            </w:r>
            <w:r w:rsidR="00B45AD7">
              <w:t>.</w:t>
            </w:r>
          </w:p>
        </w:tc>
      </w:tr>
    </w:tbl>
    <w:p w14:paraId="3D15E28B" w14:textId="77777777" w:rsidR="00312982" w:rsidRPr="00312982" w:rsidRDefault="00312982" w:rsidP="003C58C0">
      <w:pPr>
        <w:spacing w:line="360" w:lineRule="auto"/>
      </w:pPr>
    </w:p>
    <w:p w14:paraId="2B18BB8F" w14:textId="091C91FF" w:rsidR="00312982" w:rsidRPr="00312982" w:rsidRDefault="004254AC" w:rsidP="003C58C0">
      <w:pPr>
        <w:pStyle w:val="Heading3"/>
        <w:spacing w:line="360" w:lineRule="auto"/>
      </w:pPr>
      <w:bookmarkStart w:id="39" w:name="_Toc147242383"/>
      <w:r w:rsidRPr="00C223C5">
        <w:t>1.3 Operations of strategic importance</w:t>
      </w:r>
      <w:bookmarkEnd w:id="39"/>
    </w:p>
    <w:p w14:paraId="39432B66" w14:textId="172150CB" w:rsidR="004254AC" w:rsidRPr="00153519" w:rsidRDefault="004254AC" w:rsidP="003C58C0">
      <w:pPr>
        <w:spacing w:line="360" w:lineRule="auto"/>
      </w:pPr>
      <w:r w:rsidRPr="00153519">
        <w:t xml:space="preserve">In addition, the Programme also introduces the concept of operations of strategic importance, i.e., strategic projects. Strategic projects </w:t>
      </w:r>
      <w:r w:rsidR="00FB7855" w:rsidRPr="00153519">
        <w:t xml:space="preserve">are the </w:t>
      </w:r>
      <w:r w:rsidR="00186A08" w:rsidRPr="00153519">
        <w:t>ones</w:t>
      </w:r>
      <w:r w:rsidRPr="00153519">
        <w:t xml:space="preserve"> strongly connected to the overall vision of the Programme defined as </w:t>
      </w:r>
      <w:r w:rsidR="00F02972" w:rsidRPr="00153519">
        <w:t>‘</w:t>
      </w:r>
      <w:r w:rsidRPr="00153519">
        <w:t>United by the Sea into action for a blue and green future</w:t>
      </w:r>
      <w:r w:rsidR="00C32F77" w:rsidRPr="00153519">
        <w:t xml:space="preserve"> – </w:t>
      </w:r>
      <w:r w:rsidRPr="00153519">
        <w:t>Innovative, Sustainable, Attractive and Active South Baltic</w:t>
      </w:r>
      <w:r w:rsidR="00F02972" w:rsidRPr="00153519">
        <w:t>’</w:t>
      </w:r>
      <w:r w:rsidRPr="00153519">
        <w:t>. The central location of the sea, the maritime character and the importance of the blue and green economy are the most important characteristics of the SBA. Therefore, the condition of the sea is a crucial factor for the SBA. Strategic projects shall have the potential to significantly contribute to combating the pollution and eutrophication of the Baltic Sea.</w:t>
      </w:r>
    </w:p>
    <w:p w14:paraId="60E4A7BE" w14:textId="0E3FC8EA" w:rsidR="004254AC" w:rsidRPr="00153519" w:rsidRDefault="004254AC" w:rsidP="003C58C0">
      <w:pPr>
        <w:spacing w:line="360" w:lineRule="auto"/>
      </w:pPr>
      <w:r w:rsidRPr="00153519">
        <w:t>In its initial stage, the programme considers Measure 2.2 of particular relevance for strategic projects. The projects funded under this SO will contribute with tangible and visible results, ones that can be seen, touched, and photographed and can therefore be used by the programme and the European Commission in visibility measures. For each funded project</w:t>
      </w:r>
      <w:r w:rsidR="00DF6BFB" w:rsidRPr="00153519">
        <w:t>,</w:t>
      </w:r>
      <w:r w:rsidRPr="00153519">
        <w:t xml:space="preserve"> the result will be </w:t>
      </w:r>
      <w:r w:rsidR="00DF6BFB" w:rsidRPr="00153519">
        <w:t xml:space="preserve">the </w:t>
      </w:r>
      <w:r w:rsidRPr="00153519">
        <w:t>development of new solutions that contribute to reducing the pollution and the eutrophication of the Baltic Sea.</w:t>
      </w:r>
    </w:p>
    <w:p w14:paraId="3F040D00" w14:textId="5770AA47" w:rsidR="004254AC" w:rsidRPr="00CB629A" w:rsidRDefault="004254AC" w:rsidP="003C58C0">
      <w:pPr>
        <w:spacing w:line="360" w:lineRule="auto"/>
        <w:rPr>
          <w:rFonts w:ascii="Segoe UI" w:hAnsi="Segoe UI" w:cs="Segoe UI"/>
          <w:lang w:val="en-GB"/>
        </w:rPr>
      </w:pPr>
      <w:r w:rsidRPr="00153519">
        <w:t xml:space="preserve">The strategic projects will not be a separate project type but will serve communication and promotion purposes. Therefore, the strategic project label will be granted to regular projects that significantly contribute to combating the </w:t>
      </w:r>
      <w:r w:rsidRPr="00153519">
        <w:lastRenderedPageBreak/>
        <w:t xml:space="preserve">above-described challenges, i.e., combating the pollution and the eutrophication of the sea. Projects that aim to obtain the strategic project label </w:t>
      </w:r>
      <w:r w:rsidR="00FB7855" w:rsidRPr="00153519">
        <w:t>should</w:t>
      </w:r>
      <w:r w:rsidRPr="00153519">
        <w:t xml:space="preserve"> indicate this in the Application Form during the application process. Granting the strategic status will be part of the project selection procedure.</w:t>
      </w:r>
      <w:r w:rsidR="00312982">
        <w:t xml:space="preserve"> </w:t>
      </w:r>
      <w:r w:rsidR="00312982">
        <w:rPr>
          <w:rStyle w:val="FootnoteReference"/>
          <w:rFonts w:eastAsia="Open Sans" w:cs="Open Sans"/>
          <w:sz w:val="20"/>
          <w:szCs w:val="20"/>
        </w:rPr>
        <w:footnoteReference w:id="18"/>
      </w:r>
      <w:r w:rsidR="00312982" w:rsidRPr="00153519">
        <w:t xml:space="preserve"> </w:t>
      </w:r>
      <w:r w:rsidR="00DF6BFB" w:rsidRPr="00153519">
        <w:t>In addition</w:t>
      </w:r>
      <w:r w:rsidRPr="00153519">
        <w:t xml:space="preserve"> to the thematic focus, projects that aim to obtain the strategic label shall fulfil the following criteria:</w:t>
      </w:r>
    </w:p>
    <w:p w14:paraId="3CD8AB55" w14:textId="77777777" w:rsidR="00153519" w:rsidRDefault="004254AC" w:rsidP="003C58C0">
      <w:pPr>
        <w:pStyle w:val="ListParagraph"/>
        <w:numPr>
          <w:ilvl w:val="0"/>
          <w:numId w:val="50"/>
        </w:numPr>
        <w:spacing w:line="360" w:lineRule="auto"/>
      </w:pPr>
      <w:r w:rsidRPr="00153519">
        <w:t xml:space="preserve">Demonstrating </w:t>
      </w:r>
      <w:r w:rsidR="00DF6BFB" w:rsidRPr="00153519">
        <w:t xml:space="preserve">a </w:t>
      </w:r>
      <w:r w:rsidRPr="00153519">
        <w:t>contribution to the EUSBSR, ideally supported by a Letter of Support from the relevant PA.</w:t>
      </w:r>
    </w:p>
    <w:p w14:paraId="448EDE13" w14:textId="77777777" w:rsidR="00153519" w:rsidRDefault="004254AC" w:rsidP="003C58C0">
      <w:pPr>
        <w:pStyle w:val="ListParagraph"/>
        <w:numPr>
          <w:ilvl w:val="0"/>
          <w:numId w:val="50"/>
        </w:numPr>
        <w:spacing w:line="360" w:lineRule="auto"/>
      </w:pPr>
      <w:r w:rsidRPr="00153519">
        <w:t>Involvement partners from all five Member States of the Programme is recommended.</w:t>
      </w:r>
    </w:p>
    <w:p w14:paraId="62F421E0" w14:textId="0A8251F5" w:rsidR="004254AC" w:rsidRPr="00153519" w:rsidRDefault="004254AC" w:rsidP="003C58C0">
      <w:pPr>
        <w:pStyle w:val="ListParagraph"/>
        <w:numPr>
          <w:ilvl w:val="0"/>
          <w:numId w:val="50"/>
        </w:numPr>
        <w:spacing w:line="360" w:lineRule="auto"/>
      </w:pPr>
      <w:r w:rsidRPr="00153519">
        <w:t xml:space="preserve">The partnership covers the element of the </w:t>
      </w:r>
      <w:r w:rsidRPr="00153519">
        <w:rPr>
          <w:rFonts w:ascii="Open Sans SemiBold" w:eastAsia="Open Sans SemiBold" w:hAnsi="Open Sans SemiBold" w:cs="Open Sans SemiBold"/>
          <w:bCs/>
          <w:color w:val="003399"/>
        </w:rPr>
        <w:t>Triple Helix</w:t>
      </w:r>
      <w:r w:rsidRPr="00153519">
        <w:t xml:space="preserve"> (involvement in the project of the institutions representing public sector, academia, and business) or ideally the </w:t>
      </w:r>
      <w:r w:rsidRPr="00153519">
        <w:rPr>
          <w:rFonts w:ascii="Open Sans SemiBold" w:eastAsia="Open Sans SemiBold" w:hAnsi="Open Sans SemiBold" w:cs="Open Sans SemiBold"/>
          <w:bCs/>
          <w:color w:val="003399"/>
        </w:rPr>
        <w:t>Quadruple Helix</w:t>
      </w:r>
      <w:r w:rsidRPr="00153519">
        <w:t xml:space="preserve"> (involvement in the project of institutions representing public sector, academia, business, and civil society).</w:t>
      </w:r>
    </w:p>
    <w:p w14:paraId="4AC46BCF" w14:textId="77777777" w:rsidR="004254AC" w:rsidRPr="00153519" w:rsidRDefault="004254AC" w:rsidP="003C58C0">
      <w:pPr>
        <w:spacing w:line="360" w:lineRule="auto"/>
      </w:pPr>
      <w:r w:rsidRPr="00153519">
        <w:t xml:space="preserve">The main aim of the concept of strategic projects is to significantly contribute to the Programme visibility through communication and promotion actions. The projects that receive the strategic label are expected to implement joint capitalisation, communication, and dissemination actions. </w:t>
      </w:r>
    </w:p>
    <w:p w14:paraId="6C68D171" w14:textId="41E334A7" w:rsidR="004254AC" w:rsidRPr="00153519" w:rsidRDefault="004254AC" w:rsidP="003C58C0">
      <w:pPr>
        <w:spacing w:line="360" w:lineRule="auto"/>
      </w:pPr>
      <w:r w:rsidRPr="00153519">
        <w:t xml:space="preserve">The Programme bodies will provide support and assistance in these publicity actions (e.g., </w:t>
      </w:r>
      <w:r w:rsidR="00A0712B" w:rsidRPr="00153519">
        <w:t xml:space="preserve">a </w:t>
      </w:r>
      <w:r w:rsidRPr="00153519">
        <w:t xml:space="preserve">communication event involving the Commission and Managing Authority, media coverage, social media campaigns, press dissemination of information on the projects through the </w:t>
      </w:r>
      <w:hyperlink r:id="rId20" w:history="1">
        <w:r w:rsidR="00E2119A" w:rsidRPr="00DC4ED8">
          <w:rPr>
            <w:rFonts w:ascii="Open Sans ExtraBold"/>
            <w:b/>
            <w:color w:val="003399"/>
            <w:spacing w:val="-2"/>
          </w:rPr>
          <w:t>Programme website.</w:t>
        </w:r>
      </w:hyperlink>
      <w:r w:rsidRPr="00153519">
        <w:t>)</w:t>
      </w:r>
    </w:p>
    <w:p w14:paraId="6C3E2FD9" w14:textId="6E93F3F3" w:rsidR="003D4741" w:rsidRPr="00153519" w:rsidRDefault="003D4741" w:rsidP="003C58C0">
      <w:pPr>
        <w:spacing w:line="360" w:lineRule="auto"/>
      </w:pPr>
      <w:r w:rsidRPr="00153519">
        <w:lastRenderedPageBreak/>
        <w:t xml:space="preserve">For their part, partners of the strategic project should plan and allocate </w:t>
      </w:r>
      <w:r w:rsidR="00A0712B" w:rsidRPr="00153519">
        <w:t xml:space="preserve">additional funding </w:t>
      </w:r>
      <w:r w:rsidRPr="00153519">
        <w:t>in the project budget specifically for the communication activities and outputs (e.g.,</w:t>
      </w:r>
      <w:r w:rsidR="00817AE2" w:rsidRPr="00153519">
        <w:t xml:space="preserve"> materials, products)</w:t>
      </w:r>
      <w:r w:rsidRPr="00153519">
        <w:t xml:space="preserve"> related to the assigned status of the strategic project.</w:t>
      </w:r>
    </w:p>
    <w:p w14:paraId="0CE7D10B" w14:textId="4458F00E" w:rsidR="003D4741" w:rsidRPr="00153519" w:rsidRDefault="003D4741" w:rsidP="003C58C0">
      <w:pPr>
        <w:spacing w:line="360" w:lineRule="auto"/>
        <w:rPr>
          <w:rFonts w:eastAsia="Open Sans" w:cs="Open Sans"/>
        </w:rPr>
      </w:pPr>
      <w:r w:rsidRPr="00153519">
        <w:t>Inter alia, each strategic project should foresee organi</w:t>
      </w:r>
      <w:r w:rsidR="004C3F0F" w:rsidRPr="00153519">
        <w:t>s</w:t>
      </w:r>
      <w:r w:rsidR="00A0712B" w:rsidRPr="00153519">
        <w:t>ing</w:t>
      </w:r>
      <w:r w:rsidRPr="00153519">
        <w:t xml:space="preserve"> the information event (e.g., a final conference) to which the EC and MA representatives must be invite</w:t>
      </w:r>
      <w:r w:rsidR="00BF3246" w:rsidRPr="00153519">
        <w:t>d</w:t>
      </w:r>
      <w:r w:rsidR="00A0712B" w:rsidRPr="00153519">
        <w:rPr>
          <w:rFonts w:eastAsia="Open Sans" w:cs="Open Sans"/>
        </w:rPr>
        <w:t>.</w:t>
      </w:r>
      <w:r w:rsidR="00312982">
        <w:rPr>
          <w:rStyle w:val="FootnoteReference"/>
          <w:rFonts w:eastAsia="Open Sans" w:cs="Open Sans"/>
          <w:sz w:val="20"/>
          <w:szCs w:val="20"/>
        </w:rPr>
        <w:footnoteReference w:id="19"/>
      </w:r>
    </w:p>
    <w:p w14:paraId="7D7BA527" w14:textId="10563104" w:rsidR="00061A31" w:rsidRPr="00153519" w:rsidRDefault="004254AC" w:rsidP="003C58C0">
      <w:pPr>
        <w:spacing w:line="360" w:lineRule="auto"/>
      </w:pPr>
      <w:r w:rsidRPr="00153519">
        <w:t xml:space="preserve">The selection of regular projects to receive the strategic label will take place in the framework of </w:t>
      </w:r>
      <w:r w:rsidR="00A0712B" w:rsidRPr="00153519">
        <w:t xml:space="preserve">the </w:t>
      </w:r>
      <w:r w:rsidRPr="00153519">
        <w:t xml:space="preserve">project selection procedure. </w:t>
      </w:r>
      <w:r w:rsidR="00A0712B" w:rsidRPr="00153519">
        <w:t>I</w:t>
      </w:r>
      <w:r w:rsidRPr="00153519">
        <w:t xml:space="preserve">t can </w:t>
      </w:r>
      <w:r w:rsidR="00A0712B" w:rsidRPr="00153519">
        <w:t xml:space="preserve">also </w:t>
      </w:r>
      <w:r w:rsidRPr="00153519">
        <w:t xml:space="preserve">be granted to the ongoing projects once the project fulfils the criteria for </w:t>
      </w:r>
      <w:r w:rsidR="00A0712B" w:rsidRPr="00153519">
        <w:t xml:space="preserve">an </w:t>
      </w:r>
      <w:r w:rsidRPr="00153519">
        <w:t>operation of strategic importance (i.e., as a result of a change introduced to the project)</w:t>
      </w:r>
      <w:r w:rsidR="00C412C8">
        <w:t>.</w:t>
      </w:r>
    </w:p>
    <w:p w14:paraId="5D65D8DE" w14:textId="3D21D0A2" w:rsidR="00D46F7F" w:rsidRPr="00153519" w:rsidRDefault="00FB6B61" w:rsidP="003C58C0">
      <w:pPr>
        <w:pStyle w:val="Heading2"/>
        <w:spacing w:line="360" w:lineRule="auto"/>
      </w:pPr>
      <w:bookmarkStart w:id="40" w:name="_Toc98246722"/>
      <w:bookmarkStart w:id="41" w:name="_Toc147242384"/>
      <w:r w:rsidRPr="00153519">
        <w:t>2</w:t>
      </w:r>
      <w:r w:rsidR="007A42BC" w:rsidRPr="00153519">
        <w:t xml:space="preserve"> CONTRIBUTION TO THE OBJECTIVES OF THE SOUTH BALTIC PROGRAMME</w:t>
      </w:r>
      <w:bookmarkEnd w:id="40"/>
      <w:bookmarkEnd w:id="41"/>
    </w:p>
    <w:p w14:paraId="0F282B29" w14:textId="75216382" w:rsidR="005F3037" w:rsidRPr="00153519" w:rsidRDefault="00D46F7F" w:rsidP="003C58C0">
      <w:pPr>
        <w:spacing w:line="360" w:lineRule="auto"/>
      </w:pPr>
      <w:r w:rsidRPr="00153519">
        <w:t>The South Baltic Programme requires that all projects directly contribute to the objectives of the Programme. The</w:t>
      </w:r>
      <w:r w:rsidR="009647F3" w:rsidRPr="00153519">
        <w:t>refore, the</w:t>
      </w:r>
      <w:r w:rsidRPr="00153519">
        <w:t xml:space="preserve"> intervention logic </w:t>
      </w:r>
      <w:r w:rsidR="009647F3" w:rsidRPr="00153519">
        <w:t>of the project shall be interlinked with the Programme intervention logic. The project intervention logic</w:t>
      </w:r>
      <w:r w:rsidRPr="00153519">
        <w:t xml:space="preserve"> provides </w:t>
      </w:r>
      <w:r w:rsidR="00B42A76" w:rsidRPr="00153519">
        <w:t xml:space="preserve">the </w:t>
      </w:r>
      <w:r w:rsidRPr="00153519">
        <w:t xml:space="preserve">necessary information to assess </w:t>
      </w:r>
      <w:bookmarkStart w:id="42" w:name="_Hlk103337976"/>
      <w:r w:rsidRPr="00153519">
        <w:t xml:space="preserve">how </w:t>
      </w:r>
      <w:r w:rsidR="00D30E3D" w:rsidRPr="00153519">
        <w:t xml:space="preserve">the </w:t>
      </w:r>
      <w:r w:rsidRPr="00153519">
        <w:t xml:space="preserve">project will achieve its objectives and results and how </w:t>
      </w:r>
      <w:r w:rsidR="00D30E3D" w:rsidRPr="00153519">
        <w:t>it</w:t>
      </w:r>
      <w:r w:rsidRPr="00153519">
        <w:t xml:space="preserve"> will contribute to the Programme objectives and indicator.</w:t>
      </w:r>
      <w:bookmarkEnd w:id="42"/>
    </w:p>
    <w:p w14:paraId="2D176734" w14:textId="2A9213AA" w:rsidR="005F3037" w:rsidRPr="00C223C5" w:rsidRDefault="00FB6B61" w:rsidP="003C58C0">
      <w:pPr>
        <w:pStyle w:val="Heading3"/>
        <w:spacing w:line="360" w:lineRule="auto"/>
      </w:pPr>
      <w:bookmarkStart w:id="43" w:name="_Toc98246723"/>
      <w:bookmarkStart w:id="44" w:name="_Toc147242385"/>
      <w:r w:rsidRPr="00C223C5">
        <w:t>2</w:t>
      </w:r>
      <w:r w:rsidR="00F538F9" w:rsidRPr="00C223C5">
        <w:t xml:space="preserve">.1 </w:t>
      </w:r>
      <w:r w:rsidR="00B42A76" w:rsidRPr="00C223C5">
        <w:t>B</w:t>
      </w:r>
      <w:r w:rsidR="00B1391E" w:rsidRPr="00C223C5">
        <w:t>uilding blocks of the Programme and project intervention logic</w:t>
      </w:r>
      <w:bookmarkEnd w:id="43"/>
      <w:bookmarkEnd w:id="44"/>
      <w:r w:rsidR="00B1391E" w:rsidRPr="00C223C5">
        <w:t xml:space="preserve"> </w:t>
      </w:r>
    </w:p>
    <w:p w14:paraId="4109E8ED" w14:textId="77777777" w:rsidR="00B1391E" w:rsidRPr="0003579B" w:rsidRDefault="00B1391E" w:rsidP="003C58C0">
      <w:pPr>
        <w:spacing w:line="360" w:lineRule="auto"/>
      </w:pPr>
      <w:r w:rsidRPr="0003579B">
        <w:t>Programme intervention logic</w:t>
      </w:r>
    </w:p>
    <w:p w14:paraId="31E929FC" w14:textId="10E2A704" w:rsidR="005F6762" w:rsidRPr="00153519" w:rsidRDefault="00886A79" w:rsidP="003C58C0">
      <w:pPr>
        <w:pStyle w:val="ListParagraph"/>
        <w:numPr>
          <w:ilvl w:val="0"/>
          <w:numId w:val="5"/>
        </w:numPr>
        <w:spacing w:line="360" w:lineRule="auto"/>
      </w:pPr>
      <w:r w:rsidRPr="00153519">
        <w:rPr>
          <w:rFonts w:ascii="Open Sans SemiBold" w:eastAsia="Open Sans SemiBold" w:hAnsi="Open Sans SemiBold" w:cs="Open Sans SemiBold"/>
          <w:bCs/>
          <w:color w:val="003399"/>
        </w:rPr>
        <w:t>Programme Measure</w:t>
      </w:r>
      <w:r w:rsidR="00B1391E" w:rsidRPr="00153519">
        <w:rPr>
          <w:rFonts w:ascii="Open Sans SemiBold" w:eastAsia="Open Sans SemiBold" w:hAnsi="Open Sans SemiBold" w:cs="Open Sans SemiBold"/>
          <w:bCs/>
          <w:color w:val="003399"/>
        </w:rPr>
        <w:t>:</w:t>
      </w:r>
      <w:r w:rsidR="00B1391E" w:rsidRPr="00153519">
        <w:t xml:space="preserve"> </w:t>
      </w:r>
      <w:r w:rsidR="00891079" w:rsidRPr="00153519">
        <w:t>Foreseen positive change in a specific field</w:t>
      </w:r>
      <w:r w:rsidR="005F6762" w:rsidRPr="00153519">
        <w:t xml:space="preserve"> the Programme seeks to </w:t>
      </w:r>
      <w:r w:rsidR="00891079" w:rsidRPr="00153519">
        <w:t xml:space="preserve">achieve </w:t>
      </w:r>
      <w:r w:rsidR="005F6762" w:rsidRPr="00153519">
        <w:t>through the implementation of projects.</w:t>
      </w:r>
    </w:p>
    <w:p w14:paraId="24B0A211" w14:textId="622E068A" w:rsidR="00B1391E" w:rsidRPr="00153519" w:rsidRDefault="00B1391E" w:rsidP="003C58C0">
      <w:pPr>
        <w:pStyle w:val="ListParagraph"/>
        <w:numPr>
          <w:ilvl w:val="0"/>
          <w:numId w:val="5"/>
        </w:numPr>
        <w:spacing w:line="360" w:lineRule="auto"/>
      </w:pPr>
      <w:r w:rsidRPr="00153519">
        <w:rPr>
          <w:rFonts w:ascii="Open Sans SemiBold" w:eastAsia="Open Sans SemiBold" w:hAnsi="Open Sans SemiBold" w:cs="Open Sans SemiBold"/>
          <w:bCs/>
          <w:color w:val="003399"/>
        </w:rPr>
        <w:lastRenderedPageBreak/>
        <w:t xml:space="preserve">Supported actions: </w:t>
      </w:r>
      <w:r w:rsidR="00D170C5" w:rsidRPr="00153519">
        <w:t xml:space="preserve">Interventions </w:t>
      </w:r>
      <w:r w:rsidRPr="00153519">
        <w:t xml:space="preserve">and activities that are supported under </w:t>
      </w:r>
      <w:r w:rsidR="00D458F0" w:rsidRPr="00153519">
        <w:t>a Programme</w:t>
      </w:r>
      <w:r w:rsidRPr="00153519">
        <w:t xml:space="preserve"> Measure</w:t>
      </w:r>
      <w:r w:rsidR="00D458F0" w:rsidRPr="00153519">
        <w:t>.</w:t>
      </w:r>
    </w:p>
    <w:p w14:paraId="27462232" w14:textId="1FD0C895" w:rsidR="00B1391E" w:rsidRPr="00153519" w:rsidRDefault="00B1391E" w:rsidP="003C58C0">
      <w:pPr>
        <w:pStyle w:val="ListParagraph"/>
        <w:numPr>
          <w:ilvl w:val="0"/>
          <w:numId w:val="5"/>
        </w:numPr>
        <w:spacing w:line="360" w:lineRule="auto"/>
      </w:pPr>
      <w:r w:rsidRPr="00153519">
        <w:rPr>
          <w:rFonts w:ascii="Open Sans SemiBold" w:eastAsia="Open Sans SemiBold" w:hAnsi="Open Sans SemiBold" w:cs="Open Sans SemiBold"/>
          <w:bCs/>
          <w:color w:val="003399"/>
        </w:rPr>
        <w:t>Programme output indicator:</w:t>
      </w:r>
      <w:r w:rsidRPr="00153519">
        <w:t xml:space="preserve"> The output indicator measures the </w:t>
      </w:r>
      <w:r w:rsidR="00F02972" w:rsidRPr="00153519">
        <w:t>‘</w:t>
      </w:r>
      <w:r w:rsidR="00712493" w:rsidRPr="00153519">
        <w:t xml:space="preserve">actual </w:t>
      </w:r>
      <w:r w:rsidRPr="00153519">
        <w:t>products</w:t>
      </w:r>
      <w:r w:rsidR="00F02972" w:rsidRPr="00153519">
        <w:t>’</w:t>
      </w:r>
      <w:r w:rsidRPr="00153519">
        <w:t xml:space="preserve"> developed under a certain Programme Measure. </w:t>
      </w:r>
      <w:r w:rsidR="00B42A76" w:rsidRPr="00153519">
        <w:t xml:space="preserve">The programme </w:t>
      </w:r>
      <w:r w:rsidR="00D170C5" w:rsidRPr="00153519">
        <w:t>o</w:t>
      </w:r>
      <w:r w:rsidRPr="00153519">
        <w:t xml:space="preserve">utput indicators under each Measure are defined in the </w:t>
      </w:r>
      <w:hyperlink r:id="rId21" w:history="1">
        <w:r w:rsidR="00F05D21" w:rsidRPr="0093369F">
          <w:rPr>
            <w:rFonts w:ascii="Open Sans ExtraBold"/>
            <w:b/>
            <w:color w:val="003399"/>
            <w:spacing w:val="-2"/>
          </w:rPr>
          <w:t>Programme document</w:t>
        </w:r>
      </w:hyperlink>
      <w:r w:rsidR="00F05D21" w:rsidRPr="004A0DA4">
        <w:t>.</w:t>
      </w:r>
    </w:p>
    <w:p w14:paraId="489A9E99" w14:textId="1294DE63" w:rsidR="00B1391E" w:rsidRPr="004B54EC" w:rsidRDefault="00B1391E" w:rsidP="003C58C0">
      <w:pPr>
        <w:pStyle w:val="ListParagraph"/>
        <w:numPr>
          <w:ilvl w:val="0"/>
          <w:numId w:val="5"/>
        </w:numPr>
        <w:spacing w:line="360" w:lineRule="auto"/>
      </w:pPr>
      <w:r w:rsidRPr="004B54EC">
        <w:rPr>
          <w:rFonts w:ascii="Open Sans SemiBold" w:eastAsia="Open Sans SemiBold" w:hAnsi="Open Sans SemiBold" w:cs="Open Sans SemiBold"/>
          <w:bCs/>
          <w:color w:val="003399"/>
        </w:rPr>
        <w:t>Programme result indicator</w:t>
      </w:r>
      <w:r w:rsidRPr="004B54EC">
        <w:t xml:space="preserve">: </w:t>
      </w:r>
      <w:r w:rsidR="006910D1" w:rsidRPr="00F05D21">
        <w:t>Measure</w:t>
      </w:r>
      <w:r w:rsidR="00B42A76" w:rsidRPr="00F05D21">
        <w:t>s</w:t>
      </w:r>
      <w:r w:rsidR="006910D1" w:rsidRPr="00F05D21">
        <w:t xml:space="preserve"> </w:t>
      </w:r>
      <w:r w:rsidRPr="00F05D21">
        <w:t>the</w:t>
      </w:r>
      <w:r w:rsidR="006910D1" w:rsidRPr="00F05D21">
        <w:t xml:space="preserve"> immediate</w:t>
      </w:r>
      <w:r w:rsidRPr="00F05D21">
        <w:t xml:space="preserve"> effects of the interventions supported. The Programme result indicators are </w:t>
      </w:r>
      <w:r w:rsidR="00D458F0" w:rsidRPr="00F05D21">
        <w:t xml:space="preserve">linked </w:t>
      </w:r>
      <w:r w:rsidR="00BC7AED" w:rsidRPr="00F05D21">
        <w:t xml:space="preserve">to the </w:t>
      </w:r>
      <w:r w:rsidRPr="00F05D21">
        <w:t>Programme output indicators.</w:t>
      </w:r>
    </w:p>
    <w:p w14:paraId="6EC32387" w14:textId="77777777" w:rsidR="00B1391E" w:rsidRPr="0003579B" w:rsidRDefault="00B1391E" w:rsidP="003C58C0">
      <w:pPr>
        <w:spacing w:line="360" w:lineRule="auto"/>
      </w:pPr>
      <w:r w:rsidRPr="0003579B">
        <w:t xml:space="preserve">Project intervention logic: </w:t>
      </w:r>
    </w:p>
    <w:p w14:paraId="4F36EAFA" w14:textId="4B44D645" w:rsidR="00B1391E" w:rsidRPr="004B54EC" w:rsidRDefault="00B1391E" w:rsidP="003C58C0">
      <w:pPr>
        <w:pStyle w:val="ListParagraph"/>
        <w:numPr>
          <w:ilvl w:val="0"/>
          <w:numId w:val="5"/>
        </w:numPr>
        <w:spacing w:line="360" w:lineRule="auto"/>
      </w:pPr>
      <w:r w:rsidRPr="004B54EC">
        <w:rPr>
          <w:rFonts w:ascii="Open Sans SemiBold" w:eastAsia="Open Sans SemiBold" w:hAnsi="Open Sans SemiBold" w:cs="Open Sans SemiBold"/>
          <w:bCs/>
          <w:color w:val="003399"/>
        </w:rPr>
        <w:t>Project objective</w:t>
      </w:r>
      <w:r w:rsidRPr="004B54EC">
        <w:t xml:space="preserve">: </w:t>
      </w:r>
      <w:r w:rsidRPr="00F05D21">
        <w:t>A concrete statement describing what the project is trying to achieve</w:t>
      </w:r>
      <w:r w:rsidR="0026459D" w:rsidRPr="00F05D21">
        <w:t xml:space="preserve"> </w:t>
      </w:r>
      <w:r w:rsidR="00B7310E" w:rsidRPr="00F05D21">
        <w:t>to</w:t>
      </w:r>
      <w:r w:rsidR="0026459D" w:rsidRPr="00F05D21">
        <w:t xml:space="preserve"> address </w:t>
      </w:r>
      <w:r w:rsidR="00BC7AED" w:rsidRPr="00F05D21">
        <w:t xml:space="preserve">the </w:t>
      </w:r>
      <w:r w:rsidR="0008789E" w:rsidRPr="00F05D21">
        <w:t xml:space="preserve">needs and challenges </w:t>
      </w:r>
      <w:r w:rsidR="0026459D" w:rsidRPr="00F05D21">
        <w:t>of the Programme Area and identified target groups in the selected sector</w:t>
      </w:r>
      <w:r w:rsidRPr="00F05D21">
        <w:t xml:space="preserve"> and for </w:t>
      </w:r>
      <w:r w:rsidR="00FB3E8C" w:rsidRPr="00F05D21">
        <w:t xml:space="preserve">what </w:t>
      </w:r>
      <w:r w:rsidR="0008789E" w:rsidRPr="00F05D21">
        <w:t>purpose</w:t>
      </w:r>
      <w:r w:rsidRPr="00F05D21">
        <w:t xml:space="preserve"> it requires the production and use of the project outputs.</w:t>
      </w:r>
    </w:p>
    <w:p w14:paraId="08E15942" w14:textId="77F15585" w:rsidR="00B1391E" w:rsidRPr="00F05D21" w:rsidRDefault="00B1391E" w:rsidP="003C58C0">
      <w:pPr>
        <w:pStyle w:val="ListParagraph"/>
        <w:numPr>
          <w:ilvl w:val="0"/>
          <w:numId w:val="5"/>
        </w:numPr>
        <w:spacing w:line="360" w:lineRule="auto"/>
      </w:pPr>
      <w:r w:rsidRPr="004B54EC">
        <w:rPr>
          <w:rFonts w:ascii="Open Sans SemiBold" w:eastAsia="Open Sans SemiBold" w:hAnsi="Open Sans SemiBold" w:cs="Open Sans SemiBold"/>
          <w:bCs/>
          <w:color w:val="003399"/>
        </w:rPr>
        <w:t>Project activities</w:t>
      </w:r>
      <w:r w:rsidRPr="004B54EC">
        <w:t xml:space="preserve">: </w:t>
      </w:r>
      <w:r w:rsidRPr="00F05D21">
        <w:t xml:space="preserve">The activities </w:t>
      </w:r>
      <w:r w:rsidR="00F80EE5" w:rsidRPr="00F05D21">
        <w:t xml:space="preserve">of </w:t>
      </w:r>
      <w:r w:rsidRPr="00F05D21">
        <w:t xml:space="preserve">the project </w:t>
      </w:r>
      <w:r w:rsidR="00D458F0" w:rsidRPr="00F05D21">
        <w:t xml:space="preserve">that </w:t>
      </w:r>
      <w:r w:rsidRPr="00F05D21">
        <w:t>need to</w:t>
      </w:r>
      <w:r w:rsidR="00D458F0" w:rsidRPr="00F05D21">
        <w:t xml:space="preserve"> be</w:t>
      </w:r>
      <w:r w:rsidRPr="00F05D21">
        <w:t xml:space="preserve"> implement</w:t>
      </w:r>
      <w:r w:rsidR="00D458F0" w:rsidRPr="00F05D21">
        <w:t>ed</w:t>
      </w:r>
      <w:r w:rsidRPr="00F05D21">
        <w:t xml:space="preserve"> </w:t>
      </w:r>
      <w:r w:rsidR="00B7310E" w:rsidRPr="00F05D21">
        <w:t>to</w:t>
      </w:r>
      <w:r w:rsidR="006761C5" w:rsidRPr="00F05D21">
        <w:t xml:space="preserve"> </w:t>
      </w:r>
      <w:r w:rsidRPr="00F05D21">
        <w:t>deliver its outputs and results and to achieve its objective.</w:t>
      </w:r>
    </w:p>
    <w:p w14:paraId="4829E3AF" w14:textId="5B6CFB2F" w:rsidR="00B1391E" w:rsidRPr="00F05D21" w:rsidRDefault="00B1391E" w:rsidP="003C58C0">
      <w:pPr>
        <w:pStyle w:val="ListParagraph"/>
        <w:numPr>
          <w:ilvl w:val="0"/>
          <w:numId w:val="5"/>
        </w:numPr>
        <w:spacing w:line="360" w:lineRule="auto"/>
      </w:pPr>
      <w:r w:rsidRPr="004B54EC">
        <w:rPr>
          <w:rFonts w:ascii="Open Sans SemiBold" w:eastAsia="Open Sans SemiBold" w:hAnsi="Open Sans SemiBold" w:cs="Open Sans SemiBold"/>
          <w:bCs/>
          <w:color w:val="003399"/>
        </w:rPr>
        <w:t>Deliverable</w:t>
      </w:r>
      <w:r w:rsidRPr="004B54EC">
        <w:t xml:space="preserve">: </w:t>
      </w:r>
      <w:r w:rsidRPr="00F05D21">
        <w:t>Direct outcome of project activities, intermediate steps of project implementation</w:t>
      </w:r>
      <w:r w:rsidR="008A1B95" w:rsidRPr="00F05D21">
        <w:t xml:space="preserve"> and milestones in delivering outputs</w:t>
      </w:r>
      <w:r w:rsidRPr="00F05D21">
        <w:t xml:space="preserve">. </w:t>
      </w:r>
    </w:p>
    <w:p w14:paraId="0A109EF2" w14:textId="1C4BF734" w:rsidR="00B1391E" w:rsidRPr="004B54EC" w:rsidRDefault="00B1391E" w:rsidP="003C58C0">
      <w:pPr>
        <w:pStyle w:val="ListParagraph"/>
        <w:numPr>
          <w:ilvl w:val="0"/>
          <w:numId w:val="5"/>
        </w:numPr>
        <w:spacing w:line="360" w:lineRule="auto"/>
      </w:pPr>
      <w:r w:rsidRPr="004B54EC">
        <w:rPr>
          <w:rFonts w:ascii="Open Sans SemiBold" w:eastAsia="Open Sans SemiBold" w:hAnsi="Open Sans SemiBold" w:cs="Open Sans SemiBold"/>
          <w:bCs/>
          <w:color w:val="003399"/>
        </w:rPr>
        <w:t>Project output indicator</w:t>
      </w:r>
      <w:r w:rsidRPr="004B54EC">
        <w:t xml:space="preserve">: </w:t>
      </w:r>
      <w:r w:rsidR="00D458F0" w:rsidRPr="00F05D21">
        <w:t xml:space="preserve">The overall outcome of a set of project activities. The developed </w:t>
      </w:r>
      <w:r w:rsidR="00F02972" w:rsidRPr="00F05D21">
        <w:t>‘</w:t>
      </w:r>
      <w:r w:rsidR="00D458F0" w:rsidRPr="00F05D21">
        <w:t>products</w:t>
      </w:r>
      <w:r w:rsidR="00F02972" w:rsidRPr="00F05D21">
        <w:t>’</w:t>
      </w:r>
      <w:r w:rsidR="00D458F0" w:rsidRPr="00F05D21">
        <w:t xml:space="preserve"> of a project.</w:t>
      </w:r>
      <w:r w:rsidR="00D458F0" w:rsidRPr="004B54EC">
        <w:t xml:space="preserve"> </w:t>
      </w:r>
    </w:p>
    <w:p w14:paraId="0C633E8D" w14:textId="217DCA0B" w:rsidR="00214AE9" w:rsidRPr="004B54EC" w:rsidRDefault="00B1391E" w:rsidP="003C58C0">
      <w:pPr>
        <w:pStyle w:val="ListParagraph"/>
        <w:numPr>
          <w:ilvl w:val="0"/>
          <w:numId w:val="5"/>
        </w:numPr>
        <w:spacing w:line="360" w:lineRule="auto"/>
      </w:pPr>
      <w:r w:rsidRPr="004B54EC">
        <w:rPr>
          <w:rFonts w:ascii="Open Sans SemiBold" w:eastAsia="Open Sans SemiBold" w:hAnsi="Open Sans SemiBold" w:cs="Open Sans SemiBold"/>
          <w:bCs/>
          <w:color w:val="003399"/>
        </w:rPr>
        <w:t>Project result indicator</w:t>
      </w:r>
      <w:r w:rsidRPr="004B54EC">
        <w:t xml:space="preserve">: </w:t>
      </w:r>
      <w:r w:rsidRPr="00F05D21">
        <w:t>Measur</w:t>
      </w:r>
      <w:r w:rsidR="00D458F0" w:rsidRPr="00F05D21">
        <w:t>ing</w:t>
      </w:r>
      <w:r w:rsidRPr="00F05D21">
        <w:t xml:space="preserve"> the effect</w:t>
      </w:r>
      <w:r w:rsidR="00D458F0" w:rsidRPr="00F05D21">
        <w:t xml:space="preserve"> and the utilisation</w:t>
      </w:r>
      <w:r w:rsidRPr="00F05D21">
        <w:t xml:space="preserve"> of the project outputs</w:t>
      </w:r>
      <w:r w:rsidR="00DD3C2B" w:rsidRPr="00F05D21">
        <w:t>.</w:t>
      </w:r>
      <w:r w:rsidR="00D458F0" w:rsidRPr="00F05D21">
        <w:t xml:space="preserve"> </w:t>
      </w:r>
      <w:r w:rsidR="00DD3C2B" w:rsidRPr="00F05D21">
        <w:t>P</w:t>
      </w:r>
      <w:r w:rsidR="00D458F0" w:rsidRPr="00F05D21">
        <w:t>roject result indicators are linked to project outputs indicators.</w:t>
      </w:r>
    </w:p>
    <w:p w14:paraId="78AD4CEA" w14:textId="573F2BA4" w:rsidR="00B1391E" w:rsidRPr="00C223C5" w:rsidRDefault="00FB6B61" w:rsidP="003C58C0">
      <w:pPr>
        <w:pStyle w:val="Heading3"/>
        <w:spacing w:line="360" w:lineRule="auto"/>
      </w:pPr>
      <w:bookmarkStart w:id="45" w:name="_Toc98246724"/>
      <w:bookmarkStart w:id="46" w:name="_Toc147242386"/>
      <w:r w:rsidRPr="00C223C5">
        <w:t>2</w:t>
      </w:r>
      <w:r w:rsidR="00F538F9" w:rsidRPr="00C223C5">
        <w:t xml:space="preserve">.2 </w:t>
      </w:r>
      <w:r w:rsidR="00B1391E" w:rsidRPr="00C223C5">
        <w:t>Linking Programme and project intervention logic</w:t>
      </w:r>
      <w:bookmarkEnd w:id="45"/>
      <w:bookmarkEnd w:id="46"/>
      <w:r w:rsidR="00B1391E" w:rsidRPr="00C223C5">
        <w:t xml:space="preserve"> </w:t>
      </w:r>
    </w:p>
    <w:p w14:paraId="68186338" w14:textId="31A6592A" w:rsidR="00185984" w:rsidRDefault="00B1391E" w:rsidP="003C58C0">
      <w:pPr>
        <w:spacing w:line="360" w:lineRule="auto"/>
        <w:rPr>
          <w:noProof/>
        </w:rPr>
      </w:pPr>
      <w:r w:rsidRPr="00465C2F">
        <w:t>Therefore, the Programme and project intervention logics are closely interlinked</w:t>
      </w:r>
      <w:r w:rsidR="00FB3E8C" w:rsidRPr="00465C2F">
        <w:t>,</w:t>
      </w:r>
      <w:r w:rsidRPr="00465C2F">
        <w:t xml:space="preserve"> as illustrated below</w:t>
      </w:r>
      <w:r w:rsidR="007E1EF4" w:rsidRPr="00465C2F">
        <w:t>.</w:t>
      </w:r>
      <w:r w:rsidR="00465C2F" w:rsidRPr="00465C2F">
        <w:rPr>
          <w:noProof/>
        </w:rPr>
        <w:t xml:space="preserve"> </w:t>
      </w:r>
    </w:p>
    <w:p w14:paraId="2F2808A8" w14:textId="0A2C3781" w:rsidR="004D427A" w:rsidRDefault="00465C2F" w:rsidP="003C58C0">
      <w:pPr>
        <w:spacing w:line="360" w:lineRule="auto"/>
        <w:rPr>
          <w:rFonts w:eastAsia="Open Sans" w:cs="Open Sans"/>
          <w:sz w:val="20"/>
          <w:szCs w:val="20"/>
        </w:rPr>
      </w:pPr>
      <w:r>
        <w:rPr>
          <w:noProof/>
        </w:rPr>
        <w:lastRenderedPageBreak/>
        <w:drawing>
          <wp:inline distT="0" distB="0" distL="0" distR="0" wp14:anchorId="4663D755" wp14:editId="6C6A96AE">
            <wp:extent cx="5010150" cy="3705216"/>
            <wp:effectExtent l="0" t="0" r="0" b="0"/>
            <wp:docPr id="623897739" name="Picture 1" descr="In the document here there is a figure indicating the building blocks of the programme and project intervention logics and the links between them. The figure consists two columns. The left one contains the building blocks of the programme intervention logic. In the top of it there is the Programme Measure. An arrow leads to he next building block under the Programme Measure which are the supported actions that are defined under the scope of the Programme Measure. From supported actions an arrow leads down to the Programme output indicators and from Programme output indicators an arrow leads further down to the Programme result indicators.&#10;The right column on the figure includes the building blocks of the Project intervention logic. On the top of the column there is the project objective. A horizontal arrow leads from project objective to the Programme Measure on the left side indicating that the objective of the project shall correspond to the Programme Measure. From the objective an arrow leads down to the project activities. The building block of project activities is horizontally linked to the supported actions on the left side. From the project activities an arrow leads further down to deliverables. Deliverables do not have a counterpart in he programme intervention logic and thus they do not have a horizontal connection to it on the figure. From deliverables an arrow leads further down to project output indicators that are linked horizontally to Programme output indicators. From project output indicators an arrow leads to project results indicators that is the last building block of the intervention logic and that I linked horizontally to programme result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897739" name="Picture 1" descr="In the document here there is a figure indicating the building blocks of the programme and project intervention logics and the links between them. The figure consists two columns. The left one contains the building blocks of the programme intervention logic. In the top of it there is the Programme Measure. An arrow leads to he next building block under the Programme Measure which are the supported actions that are defined under the scope of the Programme Measure. From supported actions an arrow leads down to the Programme output indicators and from Programme output indicators an arrow leads further down to the Programme result indicators.&#10;The right column on the figure includes the building blocks of the Project intervention logic. On the top of the column there is the project objective. A horizontal arrow leads from project objective to the Programme Measure on the left side indicating that the objective of the project shall correspond to the Programme Measure. From the objective an arrow leads down to the project activities. The building block of project activities is horizontally linked to the supported actions on the left side. From the project activities an arrow leads further down to deliverables. Deliverables do not have a counterpart in he programme intervention logic and thus they do not have a horizontal connection to it on the figure. From deliverables an arrow leads further down to project output indicators that are linked horizontally to Programme output indicators. From project output indicators an arrow leads to project results indicators that is the last building block of the intervention logic and that I linked horizontally to programme result indicators."/>
                    <pic:cNvPicPr/>
                  </pic:nvPicPr>
                  <pic:blipFill>
                    <a:blip r:embed="rId22"/>
                    <a:stretch>
                      <a:fillRect/>
                    </a:stretch>
                  </pic:blipFill>
                  <pic:spPr>
                    <a:xfrm>
                      <a:off x="0" y="0"/>
                      <a:ext cx="5131899" cy="3795254"/>
                    </a:xfrm>
                    <a:prstGeom prst="rect">
                      <a:avLst/>
                    </a:prstGeom>
                  </pic:spPr>
                </pic:pic>
              </a:graphicData>
            </a:graphic>
          </wp:inline>
        </w:drawing>
      </w:r>
    </w:p>
    <w:p w14:paraId="079F5F4D" w14:textId="13B543E7" w:rsidR="005F3037" w:rsidRPr="00C223C5" w:rsidRDefault="00121905" w:rsidP="003C58C0">
      <w:pPr>
        <w:pStyle w:val="Heading3"/>
        <w:spacing w:line="360" w:lineRule="auto"/>
      </w:pPr>
      <w:bookmarkStart w:id="47" w:name="_Toc98246725"/>
      <w:bookmarkStart w:id="48" w:name="_Toc147242387"/>
      <w:r w:rsidRPr="00C223C5">
        <w:t>2</w:t>
      </w:r>
      <w:r w:rsidR="00F538F9" w:rsidRPr="00C223C5">
        <w:t>.3 Indicators</w:t>
      </w:r>
      <w:bookmarkEnd w:id="47"/>
      <w:bookmarkEnd w:id="48"/>
    </w:p>
    <w:p w14:paraId="1FC1DC34" w14:textId="77777777" w:rsidR="00F538F9" w:rsidRPr="004D427A" w:rsidRDefault="00F538F9" w:rsidP="003C58C0">
      <w:pPr>
        <w:spacing w:beforeLines="60" w:before="144" w:afterLines="60" w:after="144" w:line="360" w:lineRule="auto"/>
        <w:jc w:val="both"/>
        <w:rPr>
          <w:rFonts w:ascii="Open Sans SemiBold" w:eastAsia="Open Sans SemiBold" w:hAnsi="Open Sans SemiBold" w:cs="Open Sans SemiBold"/>
          <w:bCs/>
          <w:color w:val="003399"/>
          <w:szCs w:val="24"/>
        </w:rPr>
      </w:pPr>
      <w:r w:rsidRPr="004D427A">
        <w:rPr>
          <w:rFonts w:ascii="Open Sans SemiBold" w:eastAsia="Open Sans SemiBold" w:hAnsi="Open Sans SemiBold" w:cs="Open Sans SemiBold"/>
          <w:bCs/>
          <w:color w:val="003399"/>
          <w:szCs w:val="24"/>
        </w:rPr>
        <w:t>Deliverables</w:t>
      </w:r>
    </w:p>
    <w:p w14:paraId="6B297F32" w14:textId="74C41EA9" w:rsidR="00F538F9" w:rsidRPr="00465C2F" w:rsidRDefault="00F538F9" w:rsidP="003C58C0">
      <w:pPr>
        <w:spacing w:line="360" w:lineRule="auto"/>
      </w:pPr>
      <w:r w:rsidRPr="00465C2F">
        <w:t>Project deliverables are the documentations of the implementation of project activities (</w:t>
      </w:r>
      <w:r w:rsidR="003356BC" w:rsidRPr="00465C2F">
        <w:t>e.g.,</w:t>
      </w:r>
      <w:r w:rsidRPr="00465C2F">
        <w:t xml:space="preserve"> analysis, pilot implementation report, workshops, etc.)</w:t>
      </w:r>
      <w:r w:rsidR="00540E17" w:rsidRPr="00465C2F">
        <w:t>.</w:t>
      </w:r>
      <w:r w:rsidRPr="00465C2F">
        <w:t xml:space="preserve"> They are used to assess the project’s progress towards achieving its outputs and the project objective. Project deliverables do not have a counterpart in the Programme intervention </w:t>
      </w:r>
      <w:r w:rsidR="00947BA6" w:rsidRPr="00465C2F">
        <w:t>logic,</w:t>
      </w:r>
      <w:r w:rsidR="00540E17" w:rsidRPr="00465C2F">
        <w:t xml:space="preserve"> and they cannot be claimed as project outputs. </w:t>
      </w:r>
      <w:r w:rsidRPr="00465C2F">
        <w:t xml:space="preserve">Deliverables are included into the </w:t>
      </w:r>
      <w:r w:rsidR="003356BC" w:rsidRPr="00465C2F">
        <w:t>workplan,</w:t>
      </w:r>
      <w:r w:rsidRPr="00465C2F">
        <w:t xml:space="preserve"> and their achievement is monitored in the project reports. Projects, as a general rule, shall not define more than 10 deliverables. </w:t>
      </w:r>
    </w:p>
    <w:p w14:paraId="320185DE" w14:textId="77777777" w:rsidR="00F538F9" w:rsidRPr="004D427A" w:rsidRDefault="00F538F9" w:rsidP="003C58C0">
      <w:pPr>
        <w:spacing w:beforeLines="60" w:before="144" w:afterLines="60" w:after="144" w:line="360" w:lineRule="auto"/>
        <w:jc w:val="both"/>
        <w:rPr>
          <w:rFonts w:ascii="Open Sans SemiBold" w:eastAsia="Open Sans SemiBold" w:hAnsi="Open Sans SemiBold" w:cs="Open Sans SemiBold"/>
          <w:bCs/>
          <w:color w:val="003399"/>
          <w:szCs w:val="24"/>
        </w:rPr>
      </w:pPr>
      <w:r w:rsidRPr="004D427A">
        <w:rPr>
          <w:rFonts w:ascii="Open Sans SemiBold" w:eastAsia="Open Sans SemiBold" w:hAnsi="Open Sans SemiBold" w:cs="Open Sans SemiBold"/>
          <w:bCs/>
          <w:color w:val="003399"/>
          <w:szCs w:val="24"/>
        </w:rPr>
        <w:t>Output indicators</w:t>
      </w:r>
    </w:p>
    <w:p w14:paraId="7F797448" w14:textId="75D2E9B7" w:rsidR="00F538F9" w:rsidRPr="00465C2F" w:rsidRDefault="00F538F9" w:rsidP="003C58C0">
      <w:pPr>
        <w:spacing w:line="360" w:lineRule="auto"/>
      </w:pPr>
      <w:r w:rsidRPr="00465C2F">
        <w:t xml:space="preserve">The project outputs are the </w:t>
      </w:r>
      <w:r w:rsidR="00F02972" w:rsidRPr="00465C2F">
        <w:t>‘</w:t>
      </w:r>
      <w:r w:rsidRPr="00465C2F">
        <w:t>products</w:t>
      </w:r>
      <w:r w:rsidR="00F02972" w:rsidRPr="00465C2F">
        <w:t>’</w:t>
      </w:r>
      <w:r w:rsidRPr="00465C2F">
        <w:t xml:space="preserve"> of the projects that contribute to the achievement of the project objective (</w:t>
      </w:r>
      <w:r w:rsidR="003356BC" w:rsidRPr="00465C2F">
        <w:t>e.g.,</w:t>
      </w:r>
      <w:r w:rsidRPr="00465C2F">
        <w:t xml:space="preserve"> pilot actions, solutions, organisations supported, organisations cooperating</w:t>
      </w:r>
      <w:r w:rsidR="00690928" w:rsidRPr="00465C2F">
        <w:t xml:space="preserve"> across borders</w:t>
      </w:r>
      <w:r w:rsidRPr="00465C2F">
        <w:t xml:space="preserve">). Project outputs shall </w:t>
      </w:r>
      <w:r w:rsidRPr="00465C2F">
        <w:lastRenderedPageBreak/>
        <w:t xml:space="preserve">capture the most important outcomes of the projects. As a general rule, each project shall define up to </w:t>
      </w:r>
      <w:r w:rsidR="000E78D3" w:rsidRPr="00465C2F">
        <w:t xml:space="preserve">5 </w:t>
      </w:r>
      <w:r w:rsidRPr="00465C2F">
        <w:t>outputs</w:t>
      </w:r>
      <w:r w:rsidR="00A711D3" w:rsidRPr="00465C2F">
        <w:t xml:space="preserve">, out of which </w:t>
      </w:r>
      <w:r w:rsidR="00F0614C" w:rsidRPr="00465C2F">
        <w:t xml:space="preserve">a </w:t>
      </w:r>
      <w:r w:rsidR="00A711D3" w:rsidRPr="00465C2F">
        <w:t xml:space="preserve">maximum </w:t>
      </w:r>
      <w:r w:rsidR="00F0614C" w:rsidRPr="00465C2F">
        <w:t xml:space="preserve">of </w:t>
      </w:r>
      <w:r w:rsidR="00A711D3" w:rsidRPr="00465C2F">
        <w:t>4 are jointly developed solutions</w:t>
      </w:r>
      <w:r w:rsidR="00F0614C" w:rsidRPr="00465C2F">
        <w:t>,</w:t>
      </w:r>
      <w:r w:rsidR="00212ED7">
        <w:rPr>
          <w:rStyle w:val="FootnoteReference"/>
          <w:rFonts w:eastAsia="Open Sans" w:cs="Open Sans"/>
          <w:sz w:val="20"/>
          <w:szCs w:val="20"/>
        </w:rPr>
        <w:footnoteReference w:id="20"/>
      </w:r>
      <w:r w:rsidR="00540E17" w:rsidRPr="00465C2F">
        <w:t xml:space="preserve"> not considering those outputs that ar</w:t>
      </w:r>
      <w:r w:rsidR="00561604" w:rsidRPr="00465C2F">
        <w:t>e connected to the partnership of the project</w:t>
      </w:r>
      <w:r w:rsidRPr="00465C2F">
        <w:t>.</w:t>
      </w:r>
      <w:r w:rsidR="00690928" w:rsidRPr="00465C2F">
        <w:t xml:space="preserve"> </w:t>
      </w:r>
    </w:p>
    <w:p w14:paraId="716ED7CD" w14:textId="7B48E7A9" w:rsidR="00F538F9" w:rsidRPr="00465C2F" w:rsidRDefault="00690928" w:rsidP="003C58C0">
      <w:pPr>
        <w:spacing w:line="360" w:lineRule="auto"/>
      </w:pPr>
      <w:r w:rsidRPr="004D427A">
        <w:t>Under each Programme Measure</w:t>
      </w:r>
      <w:r w:rsidR="00F0614C" w:rsidRPr="004D427A">
        <w:t>,</w:t>
      </w:r>
      <w:r w:rsidRPr="004D427A">
        <w:t xml:space="preserve"> the programme output indicators are defined in </w:t>
      </w:r>
      <w:r w:rsidR="007F3A27" w:rsidRPr="004D427A">
        <w:t>C</w:t>
      </w:r>
      <w:r w:rsidRPr="004D427A">
        <w:t xml:space="preserve">hapter II. </w:t>
      </w:r>
      <w:r w:rsidR="00F538F9" w:rsidRPr="004D427A">
        <w:t>Project output indicators shall be defined in a way that they fall under the scope of the linked Programme output indicator. Each project shall contribute to at least one Programme output indicator. For projects implemented in P</w:t>
      </w:r>
      <w:r w:rsidR="009D126A" w:rsidRPr="004D427A">
        <w:t xml:space="preserve">riority </w:t>
      </w:r>
      <w:r w:rsidR="00F538F9" w:rsidRPr="004D427A">
        <w:t>1, P</w:t>
      </w:r>
      <w:r w:rsidR="009D126A" w:rsidRPr="004D427A">
        <w:t xml:space="preserve">riority </w:t>
      </w:r>
      <w:r w:rsidR="00F538F9" w:rsidRPr="004D427A">
        <w:t>2</w:t>
      </w:r>
      <w:r w:rsidR="006904D6" w:rsidRPr="004D427A">
        <w:t>,</w:t>
      </w:r>
      <w:r w:rsidR="00F538F9" w:rsidRPr="004D427A">
        <w:t xml:space="preserve"> and P</w:t>
      </w:r>
      <w:r w:rsidR="009D126A" w:rsidRPr="004D427A">
        <w:t xml:space="preserve">riority </w:t>
      </w:r>
      <w:r w:rsidR="00F538F9" w:rsidRPr="004D427A">
        <w:t>3</w:t>
      </w:r>
      <w:r w:rsidR="00F0614C" w:rsidRPr="004D427A">
        <w:t>,</w:t>
      </w:r>
      <w:r w:rsidR="00F538F9" w:rsidRPr="004D427A">
        <w:t xml:space="preserve"> it is obligatory to define </w:t>
      </w:r>
      <w:r w:rsidR="00F0614C" w:rsidRPr="004D427A">
        <w:t xml:space="preserve">a </w:t>
      </w:r>
      <w:r w:rsidR="00F538F9" w:rsidRPr="004D427A">
        <w:t>project output indicator that contributes to</w:t>
      </w:r>
      <w:r w:rsidR="00F0614C" w:rsidRPr="004D427A">
        <w:t xml:space="preserve"> the</w:t>
      </w:r>
      <w:r w:rsidR="00F538F9" w:rsidRPr="004D427A">
        <w:t xml:space="preserve"> Jointly developed solutions programme </w:t>
      </w:r>
      <w:r w:rsidR="00507C6C" w:rsidRPr="004D427A">
        <w:t xml:space="preserve">output </w:t>
      </w:r>
      <w:r w:rsidR="00F538F9" w:rsidRPr="004D427A">
        <w:t xml:space="preserve">indicator and </w:t>
      </w:r>
      <w:r w:rsidRPr="004D427A">
        <w:t xml:space="preserve">to the </w:t>
      </w:r>
      <w:r w:rsidR="00F538F9" w:rsidRPr="004D427A">
        <w:t>relevant result indicator. For projects implemented under P</w:t>
      </w:r>
      <w:r w:rsidR="009D126A" w:rsidRPr="004D427A">
        <w:t xml:space="preserve">riority </w:t>
      </w:r>
      <w:r w:rsidR="00F538F9" w:rsidRPr="004D427A">
        <w:t>4</w:t>
      </w:r>
      <w:r w:rsidR="00561604" w:rsidRPr="004D427A">
        <w:t xml:space="preserve"> an</w:t>
      </w:r>
      <w:r w:rsidR="00434542" w:rsidRPr="004D427A">
        <w:t>d</w:t>
      </w:r>
      <w:r w:rsidR="00561604" w:rsidRPr="004D427A">
        <w:t xml:space="preserve"> Measure 1.2</w:t>
      </w:r>
      <w:r w:rsidR="00434542" w:rsidRPr="004D427A">
        <w:t xml:space="preserve"> in P</w:t>
      </w:r>
      <w:r w:rsidR="009D126A" w:rsidRPr="004D427A">
        <w:t xml:space="preserve">riority </w:t>
      </w:r>
      <w:r w:rsidR="00434542" w:rsidRPr="004D427A">
        <w:t>1</w:t>
      </w:r>
      <w:r w:rsidR="00F0614C" w:rsidRPr="004D427A">
        <w:t>,</w:t>
      </w:r>
      <w:r w:rsidR="00F538F9" w:rsidRPr="004D427A">
        <w:t xml:space="preserve"> it is obligatory to contribute to Organisations cooperating across borders and to the relevant result indicator</w:t>
      </w:r>
      <w:r w:rsidR="00F538F9" w:rsidRPr="00465C2F">
        <w:t>.</w:t>
      </w:r>
    </w:p>
    <w:p w14:paraId="4459D82C" w14:textId="2510CB91" w:rsidR="00F538F9" w:rsidRPr="00465C2F" w:rsidRDefault="00F538F9" w:rsidP="003C58C0">
      <w:pPr>
        <w:spacing w:line="360" w:lineRule="auto"/>
      </w:pPr>
      <w:r w:rsidRPr="00465C2F">
        <w:t xml:space="preserve">The progress in achieving the project output indicators </w:t>
      </w:r>
      <w:r w:rsidR="00690928" w:rsidRPr="00465C2F">
        <w:t>is</w:t>
      </w:r>
      <w:r w:rsidRPr="00465C2F">
        <w:t xml:space="preserve"> monitored in the project progress reports. Each project shall report the completed outputs </w:t>
      </w:r>
      <w:r w:rsidR="00690928" w:rsidRPr="00465C2F">
        <w:t xml:space="preserve">in the final project progress report </w:t>
      </w:r>
      <w:r w:rsidR="00F0614C" w:rsidRPr="00465C2F">
        <w:t xml:space="preserve">at </w:t>
      </w:r>
      <w:r w:rsidR="00690928" w:rsidRPr="00465C2F">
        <w:t>the latest.</w:t>
      </w:r>
      <w:r w:rsidRPr="00465C2F">
        <w:t xml:space="preserve"> </w:t>
      </w:r>
    </w:p>
    <w:p w14:paraId="45C6DDD6" w14:textId="77777777" w:rsidR="00F538F9" w:rsidRPr="004D427A" w:rsidRDefault="00F538F9" w:rsidP="003C58C0">
      <w:pPr>
        <w:spacing w:beforeLines="60" w:before="144" w:afterLines="60" w:after="144" w:line="360" w:lineRule="auto"/>
        <w:jc w:val="both"/>
        <w:rPr>
          <w:rFonts w:ascii="Open Sans SemiBold" w:eastAsia="Open Sans SemiBold" w:hAnsi="Open Sans SemiBold" w:cs="Open Sans SemiBold"/>
          <w:bCs/>
          <w:color w:val="003399"/>
          <w:szCs w:val="24"/>
        </w:rPr>
      </w:pPr>
      <w:r w:rsidRPr="004D427A">
        <w:rPr>
          <w:rFonts w:ascii="Open Sans SemiBold" w:eastAsia="Open Sans SemiBold" w:hAnsi="Open Sans SemiBold" w:cs="Open Sans SemiBold"/>
          <w:bCs/>
          <w:color w:val="003399"/>
          <w:szCs w:val="24"/>
        </w:rPr>
        <w:t>Result indicators</w:t>
      </w:r>
    </w:p>
    <w:p w14:paraId="79392A03" w14:textId="4054B91E" w:rsidR="00F538F9" w:rsidRPr="00465C2F" w:rsidRDefault="00F538F9" w:rsidP="003C58C0">
      <w:pPr>
        <w:spacing w:line="360" w:lineRule="auto"/>
      </w:pPr>
      <w:r w:rsidRPr="00465C2F">
        <w:t xml:space="preserve">Result indicators measure the utilisation and the effect of the developed outputs. They are directly derived from output </w:t>
      </w:r>
      <w:r w:rsidR="00B566FA" w:rsidRPr="00465C2F">
        <w:t>indicators; thus,</w:t>
      </w:r>
      <w:r w:rsidRPr="00465C2F">
        <w:t xml:space="preserve"> the projects shall not define them separately. Nevertheless, when defining the project outputs and developing the project intervention logic</w:t>
      </w:r>
      <w:r w:rsidR="00F0614C" w:rsidRPr="00465C2F">
        <w:t>,</w:t>
      </w:r>
      <w:r w:rsidRPr="00465C2F">
        <w:t xml:space="preserve"> the projects shall bear in mind the connection between </w:t>
      </w:r>
      <w:r w:rsidR="00F0614C" w:rsidRPr="00465C2F">
        <w:t xml:space="preserve">the </w:t>
      </w:r>
      <w:r w:rsidRPr="00465C2F">
        <w:t xml:space="preserve">output and result indicators and the fact that </w:t>
      </w:r>
      <w:r w:rsidR="00F0614C" w:rsidRPr="00465C2F">
        <w:t xml:space="preserve">the </w:t>
      </w:r>
      <w:r w:rsidRPr="00465C2F">
        <w:t xml:space="preserve">achievement of </w:t>
      </w:r>
      <w:r w:rsidR="00F0614C" w:rsidRPr="00465C2F">
        <w:t xml:space="preserve">the </w:t>
      </w:r>
      <w:r w:rsidRPr="00465C2F">
        <w:t xml:space="preserve">project result indicators will be monitored by the Programme. </w:t>
      </w:r>
    </w:p>
    <w:p w14:paraId="5CF0EF38" w14:textId="49CA7A91" w:rsidR="009F170D" w:rsidRDefault="00F538F9" w:rsidP="003C58C0">
      <w:pPr>
        <w:spacing w:line="360" w:lineRule="auto"/>
      </w:pPr>
      <w:r w:rsidRPr="00465C2F">
        <w:lastRenderedPageBreak/>
        <w:t xml:space="preserve">Data on result indicators will be collected </w:t>
      </w:r>
      <w:r w:rsidR="00690928" w:rsidRPr="00465C2F">
        <w:t xml:space="preserve">from the projects </w:t>
      </w:r>
      <w:r w:rsidR="005D27CF" w:rsidRPr="00465C2F">
        <w:t xml:space="preserve">in the final project progress report </w:t>
      </w:r>
      <w:r w:rsidR="00F0614C" w:rsidRPr="00465C2F">
        <w:t xml:space="preserve">at </w:t>
      </w:r>
      <w:r w:rsidR="005D27CF" w:rsidRPr="00465C2F">
        <w:t>the latest</w:t>
      </w:r>
      <w:r w:rsidRPr="00465C2F">
        <w:t xml:space="preserve">. The </w:t>
      </w:r>
      <w:r w:rsidR="008122ED" w:rsidRPr="00465C2F">
        <w:t>lead partners</w:t>
      </w:r>
      <w:r w:rsidRPr="00465C2F">
        <w:t xml:space="preserve"> will be required to inform the</w:t>
      </w:r>
      <w:r w:rsidR="002C7170" w:rsidRPr="00465C2F">
        <w:t xml:space="preserve"> Joint Secretariat </w:t>
      </w:r>
      <w:r w:rsidRPr="00465C2F">
        <w:t>about the achieved value of the indicators and provide evidence related to the achievement.</w:t>
      </w:r>
    </w:p>
    <w:p w14:paraId="5F5EE7E0" w14:textId="402F5BC3" w:rsidR="004676B1" w:rsidRPr="00B62D9C" w:rsidRDefault="004D427A" w:rsidP="003C58C0">
      <w:pPr>
        <w:spacing w:line="360" w:lineRule="auto"/>
      </w:pPr>
      <w:r>
        <w:rPr>
          <w:noProof/>
        </w:rPr>
        <mc:AlternateContent>
          <mc:Choice Requires="wps">
            <w:drawing>
              <wp:inline distT="0" distB="0" distL="0" distR="0" wp14:anchorId="5C72107D" wp14:editId="68A867CB">
                <wp:extent cx="5753100" cy="628650"/>
                <wp:effectExtent l="0" t="0" r="19050" b="19050"/>
                <wp:docPr id="1167864687" name="Text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628650"/>
                        </a:xfrm>
                        <a:prstGeom prst="rect">
                          <a:avLst/>
                        </a:prstGeom>
                        <a:ln w="12700">
                          <a:solidFill>
                            <a:srgbClr val="003399"/>
                          </a:solidFill>
                          <a:prstDash val="solid"/>
                        </a:ln>
                      </wps:spPr>
                      <wps:txbx>
                        <w:txbxContent>
                          <w:p w14:paraId="17AA5E5B" w14:textId="7DBAD242" w:rsidR="004D427A" w:rsidRPr="00130EA6" w:rsidRDefault="004D427A" w:rsidP="004D427A">
                            <w:pPr>
                              <w:pStyle w:val="BodyText"/>
                              <w:rPr>
                                <w:rFonts w:ascii="Open Sans SemiBold" w:eastAsia="Open Sans SemiBold" w:hAnsi="Open Sans SemiBold" w:cs="Open Sans SemiBold"/>
                                <w:b/>
                                <w:color w:val="003399"/>
                                <w:sz w:val="22"/>
                                <w:szCs w:val="22"/>
                              </w:rPr>
                            </w:pPr>
                            <w:r w:rsidRPr="00186A08">
                              <w:rPr>
                                <w:rFonts w:ascii="Open Sans ExtraBold" w:eastAsiaTheme="minorHAnsi" w:hAnsiTheme="minorHAnsi" w:cstheme="minorBidi"/>
                                <w:b/>
                                <w:color w:val="003399"/>
                                <w:spacing w:val="-2"/>
                                <w:szCs w:val="22"/>
                              </w:rPr>
                              <w:t xml:space="preserve"> </w:t>
                            </w:r>
                            <w:r w:rsidRPr="004D427A">
                              <w:rPr>
                                <w:rFonts w:ascii="Open Sans" w:eastAsiaTheme="minorHAnsi" w:hAnsi="Open Sans" w:cstheme="minorBidi"/>
                                <w:color w:val="auto"/>
                                <w:sz w:val="24"/>
                                <w:szCs w:val="22"/>
                                <w:lang w:eastAsia="en-US"/>
                              </w:rPr>
                              <w:t>Annex 7 Indicator factsheet provides detailed guidance and rules on the use of output and result indicators.</w:t>
                            </w:r>
                          </w:p>
                        </w:txbxContent>
                      </wps:txbx>
                      <wps:bodyPr wrap="square" lIns="0" tIns="0" rIns="0" bIns="0" rtlCol="0">
                        <a:noAutofit/>
                      </wps:bodyPr>
                    </wps:wsp>
                  </a:graphicData>
                </a:graphic>
              </wp:inline>
            </w:drawing>
          </mc:Choice>
          <mc:Fallback>
            <w:pict>
              <v:shape w14:anchorId="5C72107D" id="_x0000_s1042" type="#_x0000_t202" style="width:453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" filled="f" strokecolor="#039" strokeweight="1pt">
                <v:path arrowok="t"/>
                <v:textbox inset="0,0,0,0">
                  <w:txbxContent>
                    <w:p w14:paraId="17AA5E5B" w14:textId="7DBAD242" w:rsidR="004D427A" w:rsidRPr="00130EA6" w:rsidRDefault="004D427A" w:rsidP="004D427A">
                      <w:pPr>
                        <w:pStyle w:val="BodyText"/>
                        <w:rPr>
                          <w:rFonts w:ascii="Open Sans SemiBold" w:eastAsia="Open Sans SemiBold" w:hAnsi="Open Sans SemiBold" w:cs="Open Sans SemiBold"/>
                          <w:b/>
                          <w:color w:val="003399"/>
                          <w:sz w:val="22"/>
                          <w:szCs w:val="22"/>
                        </w:rPr>
                      </w:pPr>
                      <w:r w:rsidRPr="00186A08">
                        <w:rPr>
                          <w:rFonts w:ascii="Open Sans ExtraBold" w:eastAsiaTheme="minorHAnsi" w:hAnsiTheme="minorHAnsi" w:cstheme="minorBidi"/>
                          <w:b/>
                          <w:color w:val="003399"/>
                          <w:spacing w:val="-2"/>
                          <w:szCs w:val="22"/>
                        </w:rPr>
                        <w:t xml:space="preserve"> </w:t>
                      </w:r>
                      <w:r w:rsidRPr="004D427A">
                        <w:rPr>
                          <w:rFonts w:ascii="Open Sans" w:eastAsiaTheme="minorHAnsi" w:hAnsi="Open Sans" w:cstheme="minorBidi"/>
                          <w:color w:val="auto"/>
                          <w:sz w:val="24"/>
                          <w:szCs w:val="22"/>
                          <w:lang w:eastAsia="en-US"/>
                        </w:rPr>
                        <w:t>Annex 7 Indicator factsheet provides detailed guidance and rules on the use of output and result indicators.</w:t>
                      </w:r>
                    </w:p>
                  </w:txbxContent>
                </v:textbox>
                <w10:anchorlock/>
              </v:shape>
            </w:pict>
          </mc:Fallback>
        </mc:AlternateContent>
      </w:r>
      <w:bookmarkStart w:id="49" w:name="_Toc147242388"/>
    </w:p>
    <w:p w14:paraId="1E369CC6" w14:textId="5D59F6D3" w:rsidR="00FB6B61" w:rsidRPr="00465C2F" w:rsidRDefault="00445A03" w:rsidP="003C58C0">
      <w:pPr>
        <w:pStyle w:val="Heading2"/>
        <w:spacing w:line="360" w:lineRule="auto"/>
      </w:pPr>
      <w:r w:rsidRPr="00465C2F">
        <w:t>3</w:t>
      </w:r>
      <w:r w:rsidR="00FB6B61" w:rsidRPr="00465C2F">
        <w:t xml:space="preserve"> PARTNERSHIP PRINCIPLES IN SOUTH BALTIC PROJECTS</w:t>
      </w:r>
      <w:bookmarkEnd w:id="49"/>
    </w:p>
    <w:p w14:paraId="766898C3" w14:textId="73120C5A" w:rsidR="005F3037" w:rsidRPr="00130EA6" w:rsidRDefault="00FB6B61" w:rsidP="003C58C0">
      <w:pPr>
        <w:spacing w:line="360" w:lineRule="auto"/>
      </w:pPr>
      <w:r w:rsidRPr="00130EA6">
        <w:t>The South Baltic Programme sets requirements for the project partners and formed partnerships to be recogni</w:t>
      </w:r>
      <w:r w:rsidR="004C3F0F" w:rsidRPr="00130EA6">
        <w:t>s</w:t>
      </w:r>
      <w:r w:rsidRPr="00130EA6">
        <w:t xml:space="preserve">ed as relevant and eligible for Programme funding. </w:t>
      </w:r>
    </w:p>
    <w:p w14:paraId="6207A00D" w14:textId="497C4C08" w:rsidR="005F3037" w:rsidRPr="00C223C5" w:rsidRDefault="00445A03" w:rsidP="003C58C0">
      <w:pPr>
        <w:pStyle w:val="Heading3"/>
        <w:spacing w:line="360" w:lineRule="auto"/>
      </w:pPr>
      <w:bookmarkStart w:id="50" w:name="_Toc147242389"/>
      <w:r w:rsidRPr="00C223C5">
        <w:t>3</w:t>
      </w:r>
      <w:r w:rsidR="00BD0690" w:rsidRPr="00C223C5">
        <w:t>.1 Project partnership</w:t>
      </w:r>
      <w:bookmarkEnd w:id="50"/>
    </w:p>
    <w:p w14:paraId="1A302B90" w14:textId="059BFA23" w:rsidR="00484A06" w:rsidRDefault="00FB6B61" w:rsidP="003C58C0">
      <w:pPr>
        <w:spacing w:line="360" w:lineRule="auto"/>
      </w:pPr>
      <w:r w:rsidRPr="00130EA6">
        <w:t xml:space="preserve">When it comes to the </w:t>
      </w:r>
      <w:r w:rsidR="006421A3" w:rsidRPr="00130EA6">
        <w:t xml:space="preserve">formation of a </w:t>
      </w:r>
      <w:r w:rsidRPr="00130EA6">
        <w:t>partnership, the Programme sets the minimum requirement for the partnership to be recognised as relevant for the Programme goals.</w:t>
      </w:r>
    </w:p>
    <w:p w14:paraId="7C6C7A57" w14:textId="3A1DDB34" w:rsidR="008455B0" w:rsidRDefault="004D427A" w:rsidP="003C58C0">
      <w:pPr>
        <w:spacing w:line="360" w:lineRule="auto"/>
      </w:pPr>
      <w:r>
        <w:rPr>
          <w:noProof/>
        </w:rPr>
        <mc:AlternateContent>
          <mc:Choice Requires="wps">
            <w:drawing>
              <wp:inline distT="0" distB="0" distL="0" distR="0" wp14:anchorId="266F3AB4" wp14:editId="57C08F5D">
                <wp:extent cx="5772150" cy="952500"/>
                <wp:effectExtent l="0" t="0" r="19050" b="19050"/>
                <wp:docPr id="1294427613" name="Text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952500"/>
                        </a:xfrm>
                        <a:prstGeom prst="rect">
                          <a:avLst/>
                        </a:prstGeom>
                        <a:ln w="12700">
                          <a:solidFill>
                            <a:srgbClr val="003399"/>
                          </a:solidFill>
                          <a:prstDash val="solid"/>
                        </a:ln>
                      </wps:spPr>
                      <wps:txbx>
                        <w:txbxContent>
                          <w:p w14:paraId="5BD4803E" w14:textId="77777777" w:rsidR="004D427A" w:rsidRPr="004D427A" w:rsidRDefault="004D427A" w:rsidP="004D427A">
                            <w:pPr>
                              <w:pStyle w:val="BodyText"/>
                              <w:rPr>
                                <w:rFonts w:ascii="Open Sans ExtraBold" w:eastAsiaTheme="minorHAnsi" w:hAnsiTheme="minorHAnsi" w:cstheme="minorBidi"/>
                                <w:b/>
                                <w:color w:val="003399"/>
                                <w:spacing w:val="-2"/>
                                <w:sz w:val="24"/>
                                <w:szCs w:val="28"/>
                                <w:lang w:eastAsia="en-US"/>
                              </w:rPr>
                            </w:pPr>
                            <w:r w:rsidRPr="004D427A">
                              <w:rPr>
                                <w:rFonts w:ascii="Open Sans ExtraBold" w:eastAsiaTheme="minorHAnsi" w:hAnsiTheme="minorHAnsi" w:cstheme="minorBidi"/>
                                <w:b/>
                                <w:color w:val="003399"/>
                                <w:spacing w:val="-2"/>
                                <w:sz w:val="24"/>
                                <w:szCs w:val="28"/>
                                <w:lang w:eastAsia="en-US"/>
                              </w:rPr>
                              <w:t>Minimum requirement:</w:t>
                            </w:r>
                          </w:p>
                          <w:p w14:paraId="0248B394" w14:textId="77777777" w:rsidR="004D427A" w:rsidRPr="004D427A" w:rsidRDefault="004D427A" w:rsidP="004D427A">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Two project partners from the Programme Area from two different Member States.</w:t>
                            </w:r>
                          </w:p>
                        </w:txbxContent>
                      </wps:txbx>
                      <wps:bodyPr wrap="square" lIns="0" tIns="0" rIns="0" bIns="0" rtlCol="0">
                        <a:noAutofit/>
                      </wps:bodyPr>
                    </wps:wsp>
                  </a:graphicData>
                </a:graphic>
              </wp:inline>
            </w:drawing>
          </mc:Choice>
          <mc:Fallback>
            <w:pict>
              <v:shape w14:anchorId="266F3AB4" id="_x0000_s1043" type="#_x0000_t202" style="width:454.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" filled="f" strokecolor="#039" strokeweight="1pt">
                <v:path arrowok="t"/>
                <v:textbox inset="0,0,0,0">
                  <w:txbxContent>
                    <w:p w14:paraId="5BD4803E" w14:textId="77777777" w:rsidR="004D427A" w:rsidRPr="004D427A" w:rsidRDefault="004D427A" w:rsidP="004D427A">
                      <w:pPr>
                        <w:pStyle w:val="BodyText"/>
                        <w:rPr>
                          <w:rFonts w:ascii="Open Sans ExtraBold" w:eastAsiaTheme="minorHAnsi" w:hAnsiTheme="minorHAnsi" w:cstheme="minorBidi"/>
                          <w:b/>
                          <w:color w:val="003399"/>
                          <w:spacing w:val="-2"/>
                          <w:sz w:val="24"/>
                          <w:szCs w:val="28"/>
                          <w:lang w:eastAsia="en-US"/>
                        </w:rPr>
                      </w:pPr>
                      <w:r w:rsidRPr="004D427A">
                        <w:rPr>
                          <w:rFonts w:ascii="Open Sans ExtraBold" w:eastAsiaTheme="minorHAnsi" w:hAnsiTheme="minorHAnsi" w:cstheme="minorBidi"/>
                          <w:b/>
                          <w:color w:val="003399"/>
                          <w:spacing w:val="-2"/>
                          <w:sz w:val="24"/>
                          <w:szCs w:val="28"/>
                          <w:lang w:eastAsia="en-US"/>
                        </w:rPr>
                        <w:t>Minimum requirement:</w:t>
                      </w:r>
                    </w:p>
                    <w:p w14:paraId="0248B394" w14:textId="77777777" w:rsidR="004D427A" w:rsidRPr="004D427A" w:rsidRDefault="004D427A" w:rsidP="004D427A">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Two project partners from the Programme Area from two different Member States.</w:t>
                      </w:r>
                    </w:p>
                  </w:txbxContent>
                </v:textbox>
                <w10:anchorlock/>
              </v:shape>
            </w:pict>
          </mc:Fallback>
        </mc:AlternateContent>
      </w:r>
    </w:p>
    <w:p w14:paraId="6702D501" w14:textId="67B8C6FB" w:rsidR="00212ED7" w:rsidRDefault="008455B0" w:rsidP="003C58C0">
      <w:pPr>
        <w:spacing w:line="360" w:lineRule="auto"/>
        <w:rPr>
          <w:rFonts w:eastAsia="Open Sans" w:cs="Open Sans"/>
          <w:sz w:val="20"/>
          <w:szCs w:val="20"/>
        </w:rPr>
      </w:pPr>
      <w:r>
        <w:rPr>
          <w:noProof/>
        </w:rPr>
        <mc:AlternateContent>
          <mc:Choice Requires="wps">
            <w:drawing>
              <wp:inline distT="0" distB="0" distL="0" distR="0" wp14:anchorId="1D2513D1" wp14:editId="143D1CE2">
                <wp:extent cx="5753100" cy="1581150"/>
                <wp:effectExtent l="0" t="0" r="19050" b="19050"/>
                <wp:docPr id="306372583" name="Text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1581150"/>
                        </a:xfrm>
                        <a:prstGeom prst="rect">
                          <a:avLst/>
                        </a:prstGeom>
                        <a:ln w="12700">
                          <a:solidFill>
                            <a:srgbClr val="003399"/>
                          </a:solidFill>
                          <a:prstDash val="solid"/>
                        </a:ln>
                      </wps:spPr>
                      <wps:txbx>
                        <w:txbxContent>
                          <w:p w14:paraId="57B9F1D2" w14:textId="2251C109" w:rsidR="00130EA6" w:rsidRPr="004D427A" w:rsidRDefault="00130EA6" w:rsidP="00805C22">
                            <w:pPr>
                              <w:pStyle w:val="BodyText"/>
                              <w:rPr>
                                <w:rFonts w:ascii="Open Sans ExtraBold" w:eastAsiaTheme="minorHAnsi" w:hAnsiTheme="minorHAnsi" w:cstheme="minorBidi"/>
                                <w:b/>
                                <w:color w:val="003399"/>
                                <w:spacing w:val="-2"/>
                                <w:sz w:val="24"/>
                                <w:szCs w:val="28"/>
                                <w:lang w:eastAsia="en-US"/>
                              </w:rPr>
                            </w:pPr>
                            <w:r w:rsidRPr="004D427A">
                              <w:rPr>
                                <w:rFonts w:ascii="Open Sans ExtraBold" w:eastAsiaTheme="minorHAnsi" w:hAnsiTheme="minorHAnsi" w:cstheme="minorBidi"/>
                                <w:b/>
                                <w:color w:val="003399"/>
                                <w:spacing w:val="-2"/>
                                <w:sz w:val="24"/>
                                <w:szCs w:val="28"/>
                                <w:lang w:eastAsia="en-US"/>
                              </w:rPr>
                              <w:t>Important:</w:t>
                            </w:r>
                          </w:p>
                          <w:p w14:paraId="3B61662C" w14:textId="77777777" w:rsidR="00130EA6" w:rsidRPr="004D427A" w:rsidRDefault="00130EA6" w:rsidP="00805C22">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Programme strongly emphasises that projects involving project partners from the Programme area from only two Member States are not the prime target and can be funded only in exceptional and well justified cases.</w:t>
                            </w:r>
                          </w:p>
                          <w:p w14:paraId="137EDBAF" w14:textId="22996D51" w:rsidR="00130EA6" w:rsidRPr="00130EA6" w:rsidRDefault="00130EA6" w:rsidP="00805C22">
                            <w:r w:rsidRPr="00130EA6">
                              <w:t>Cooperation of project partners from the Programme area from at least three different Member States are supported by the Programme foremost.</w:t>
                            </w:r>
                          </w:p>
                        </w:txbxContent>
                      </wps:txbx>
                      <wps:bodyPr wrap="square" lIns="0" tIns="0" rIns="0" bIns="0" rtlCol="0">
                        <a:noAutofit/>
                      </wps:bodyPr>
                    </wps:wsp>
                  </a:graphicData>
                </a:graphic>
              </wp:inline>
            </w:drawing>
          </mc:Choice>
          <mc:Fallback>
            <w:pict>
              <v:shape w14:anchorId="1D2513D1" id="_x0000_s1044" type="#_x0000_t202" style="width:453pt;height:1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" filled="f" strokecolor="#039" strokeweight="1pt">
                <v:path arrowok="t"/>
                <v:textbox inset="0,0,0,0">
                  <w:txbxContent>
                    <w:p w14:paraId="57B9F1D2" w14:textId="2251C109" w:rsidR="00130EA6" w:rsidRPr="004D427A" w:rsidRDefault="00130EA6" w:rsidP="00805C22">
                      <w:pPr>
                        <w:pStyle w:val="BodyText"/>
                        <w:rPr>
                          <w:rFonts w:ascii="Open Sans ExtraBold" w:eastAsiaTheme="minorHAnsi" w:hAnsiTheme="minorHAnsi" w:cstheme="minorBidi"/>
                          <w:b/>
                          <w:color w:val="003399"/>
                          <w:spacing w:val="-2"/>
                          <w:sz w:val="24"/>
                          <w:szCs w:val="28"/>
                          <w:lang w:eastAsia="en-US"/>
                        </w:rPr>
                      </w:pPr>
                      <w:r w:rsidRPr="004D427A">
                        <w:rPr>
                          <w:rFonts w:ascii="Open Sans ExtraBold" w:eastAsiaTheme="minorHAnsi" w:hAnsiTheme="minorHAnsi" w:cstheme="minorBidi"/>
                          <w:b/>
                          <w:color w:val="003399"/>
                          <w:spacing w:val="-2"/>
                          <w:sz w:val="24"/>
                          <w:szCs w:val="28"/>
                          <w:lang w:eastAsia="en-US"/>
                        </w:rPr>
                        <w:t>Important:</w:t>
                      </w:r>
                    </w:p>
                    <w:p w14:paraId="3B61662C" w14:textId="77777777" w:rsidR="00130EA6" w:rsidRPr="004D427A" w:rsidRDefault="00130EA6" w:rsidP="00805C22">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Programme strongly emphasises that projects involving project partners from the Programme area from only two Member States are not the prime target and can be funded only in exceptional and well justified cases.</w:t>
                      </w:r>
                    </w:p>
                    <w:p w14:paraId="137EDBAF" w14:textId="22996D51" w:rsidR="00130EA6" w:rsidRPr="00130EA6" w:rsidRDefault="00130EA6" w:rsidP="00805C22">
                      <w:r w:rsidRPr="00130EA6">
                        <w:t>Cooperation of project partners from the Programme area from at least three different Member States are supported by the Programme foremost.</w:t>
                      </w:r>
                    </w:p>
                  </w:txbxContent>
                </v:textbox>
                <w10:anchorlock/>
              </v:shape>
            </w:pict>
          </mc:Fallback>
        </mc:AlternateContent>
      </w:r>
    </w:p>
    <w:p w14:paraId="31BEBBB7" w14:textId="347426D7" w:rsidR="00FB6B61" w:rsidRPr="00130EA6" w:rsidRDefault="00D43806" w:rsidP="003C58C0">
      <w:pPr>
        <w:spacing w:line="360" w:lineRule="auto"/>
      </w:pPr>
      <w:r w:rsidRPr="00130EA6">
        <w:t xml:space="preserve">As </w:t>
      </w:r>
      <w:r w:rsidR="00FB7855" w:rsidRPr="00130EA6">
        <w:t>a general</w:t>
      </w:r>
      <w:r w:rsidRPr="00130EA6">
        <w:t xml:space="preserve"> rule, the size and the composition of the partnership shall correspond to the planned project activities, therefore the number of </w:t>
      </w:r>
      <w:r w:rsidR="00DB293B" w:rsidRPr="00130EA6">
        <w:t xml:space="preserve">project </w:t>
      </w:r>
      <w:r w:rsidRPr="00130EA6">
        <w:lastRenderedPageBreak/>
        <w:t xml:space="preserve">partners in individual projects may differ from the recommended project size. </w:t>
      </w:r>
      <w:r w:rsidR="00FB6B61" w:rsidRPr="00130EA6">
        <w:t>The minimum requirement sets the smallest partnership</w:t>
      </w:r>
      <w:r w:rsidRPr="00130EA6">
        <w:t>, but</w:t>
      </w:r>
      <w:r w:rsidR="003356BC" w:rsidRPr="00130EA6">
        <w:t xml:space="preserve"> it</w:t>
      </w:r>
      <w:r w:rsidR="00FB6B61" w:rsidRPr="00130EA6">
        <w:t xml:space="preserve"> is strongly recommended to involve relevant partners from the whole Programme area to demonstrate </w:t>
      </w:r>
      <w:r w:rsidR="00484F9A" w:rsidRPr="00130EA6">
        <w:t>its authentic</w:t>
      </w:r>
      <w:r w:rsidR="00FB6B61" w:rsidRPr="00130EA6">
        <w:t xml:space="preserve"> cross-border </w:t>
      </w:r>
      <w:r w:rsidR="00B200AD" w:rsidRPr="00130EA6">
        <w:t>nature</w:t>
      </w:r>
      <w:r w:rsidR="00FB6B61" w:rsidRPr="00130EA6">
        <w:t xml:space="preserve">. </w:t>
      </w:r>
    </w:p>
    <w:p w14:paraId="7A73185B" w14:textId="68874515" w:rsidR="008F57F5" w:rsidRPr="00130EA6" w:rsidRDefault="008F57F5" w:rsidP="003C58C0">
      <w:pPr>
        <w:spacing w:line="360" w:lineRule="auto"/>
      </w:pPr>
      <w:r w:rsidRPr="00130EA6">
        <w:t>Organi</w:t>
      </w:r>
      <w:r w:rsidR="004C3F0F" w:rsidRPr="00130EA6">
        <w:t>s</w:t>
      </w:r>
      <w:r w:rsidRPr="00130EA6">
        <w:t>ations</w:t>
      </w:r>
      <w:r w:rsidR="00D43806" w:rsidRPr="00130EA6">
        <w:t xml:space="preserve"> </w:t>
      </w:r>
      <w:r w:rsidR="00453A52" w:rsidRPr="00130EA6">
        <w:t>located</w:t>
      </w:r>
      <w:r w:rsidR="00D43806" w:rsidRPr="00130EA6">
        <w:t xml:space="preserve"> </w:t>
      </w:r>
      <w:r w:rsidR="00453A52" w:rsidRPr="00130EA6">
        <w:t>outside the Programme Area</w:t>
      </w:r>
      <w:r w:rsidR="0082598F" w:rsidRPr="00130EA6">
        <w:t xml:space="preserve"> (but within EU Member States</w:t>
      </w:r>
      <w:r w:rsidR="00AC76D5">
        <w:rPr>
          <w:rStyle w:val="FootnoteReference"/>
        </w:rPr>
        <w:footnoteReference w:id="21"/>
      </w:r>
      <w:r w:rsidR="0082598F" w:rsidRPr="00130EA6">
        <w:t xml:space="preserve">– see </w:t>
      </w:r>
      <w:r w:rsidR="003E1402">
        <w:t>C</w:t>
      </w:r>
      <w:r w:rsidR="0082598F" w:rsidRPr="00130EA6">
        <w:t>hapter III Section 3.6 Associated partners)</w:t>
      </w:r>
      <w:r w:rsidR="00453A52" w:rsidRPr="00130EA6">
        <w:t xml:space="preserve"> but having </w:t>
      </w:r>
      <w:r w:rsidR="00D43806" w:rsidRPr="00130EA6">
        <w:t xml:space="preserve">important cooperation potentials </w:t>
      </w:r>
      <w:r w:rsidR="00453A52" w:rsidRPr="00130EA6">
        <w:t xml:space="preserve">can also join </w:t>
      </w:r>
      <w:r w:rsidR="00484F9A" w:rsidRPr="00130EA6">
        <w:t xml:space="preserve">the </w:t>
      </w:r>
      <w:r w:rsidR="00453A52" w:rsidRPr="00130EA6">
        <w:t>partnership</w:t>
      </w:r>
      <w:r w:rsidRPr="00130EA6">
        <w:t xml:space="preserve"> as project partners</w:t>
      </w:r>
      <w:r w:rsidR="00453A52" w:rsidRPr="00130EA6">
        <w:t>. In such</w:t>
      </w:r>
      <w:r w:rsidR="00FB7855" w:rsidRPr="00130EA6">
        <w:t xml:space="preserve"> </w:t>
      </w:r>
      <w:r w:rsidR="00130EA6" w:rsidRPr="00130EA6">
        <w:t>a case</w:t>
      </w:r>
      <w:r w:rsidR="00484F9A" w:rsidRPr="00130EA6">
        <w:t>,</w:t>
      </w:r>
      <w:r w:rsidR="00453A52" w:rsidRPr="00130EA6">
        <w:t xml:space="preserve"> they shall</w:t>
      </w:r>
      <w:r w:rsidRPr="00130EA6">
        <w:t xml:space="preserve"> either strengthen and develop functional links </w:t>
      </w:r>
      <w:r w:rsidR="00484F9A" w:rsidRPr="00130EA6">
        <w:t>with</w:t>
      </w:r>
      <w:r w:rsidRPr="00130EA6">
        <w:t xml:space="preserve">in and outside the </w:t>
      </w:r>
      <w:r w:rsidR="008E48A1" w:rsidRPr="00130EA6">
        <w:t>Programme A</w:t>
      </w:r>
      <w:r w:rsidRPr="00130EA6">
        <w:t xml:space="preserve">rea or </w:t>
      </w:r>
      <w:r w:rsidR="00D43806" w:rsidRPr="00130EA6">
        <w:t xml:space="preserve">contribute to </w:t>
      </w:r>
      <w:r w:rsidRPr="00130EA6">
        <w:t xml:space="preserve">the </w:t>
      </w:r>
      <w:r w:rsidR="00D43806" w:rsidRPr="00130EA6">
        <w:t xml:space="preserve">benefit and bring added value to the </w:t>
      </w:r>
      <w:r w:rsidR="00A65BF3" w:rsidRPr="00130EA6">
        <w:t xml:space="preserve">Programme </w:t>
      </w:r>
      <w:r w:rsidRPr="00130EA6">
        <w:t>Area</w:t>
      </w:r>
      <w:r w:rsidR="00D43806" w:rsidRPr="00130EA6">
        <w:t>.</w:t>
      </w:r>
      <w:r w:rsidR="002F792A" w:rsidRPr="00130EA6">
        <w:t xml:space="preserve"> </w:t>
      </w:r>
    </w:p>
    <w:p w14:paraId="5D34C5AD" w14:textId="318768EA" w:rsidR="00D5417D" w:rsidRPr="00130EA6" w:rsidRDefault="00484F9A" w:rsidP="003C58C0">
      <w:pPr>
        <w:spacing w:line="360" w:lineRule="auto"/>
      </w:pPr>
      <w:r w:rsidRPr="00130EA6">
        <w:t xml:space="preserve">The partnership </w:t>
      </w:r>
      <w:r w:rsidR="00D1662B" w:rsidRPr="00130EA6">
        <w:t>may</w:t>
      </w:r>
      <w:r w:rsidR="00B200AD" w:rsidRPr="00130EA6">
        <w:t xml:space="preserve"> </w:t>
      </w:r>
      <w:r w:rsidR="00D1662B" w:rsidRPr="00130EA6">
        <w:t xml:space="preserve">be facilitated by </w:t>
      </w:r>
      <w:r w:rsidRPr="00130EA6">
        <w:t xml:space="preserve">the </w:t>
      </w:r>
      <w:r w:rsidR="00D1662B" w:rsidRPr="00130EA6">
        <w:t xml:space="preserve">involvement of associated partners. </w:t>
      </w:r>
      <w:r w:rsidRPr="00130EA6">
        <w:t xml:space="preserve">A detailed </w:t>
      </w:r>
      <w:r w:rsidR="00D1662B" w:rsidRPr="00130EA6">
        <w:t xml:space="preserve">description of the roles of the associated partners is provided in </w:t>
      </w:r>
      <w:r w:rsidR="00CA5532" w:rsidRPr="00130EA6">
        <w:t xml:space="preserve">Chapter III, </w:t>
      </w:r>
      <w:r w:rsidR="0099734C" w:rsidRPr="00130EA6">
        <w:t xml:space="preserve">Section </w:t>
      </w:r>
      <w:hyperlink r:id="rId23" w:history="1">
        <w:r w:rsidR="008E48A1" w:rsidRPr="00130EA6">
          <w:t>3.6 Associated partners</w:t>
        </w:r>
      </w:hyperlink>
      <w:r w:rsidR="008E48A1" w:rsidRPr="00130EA6">
        <w:t>.</w:t>
      </w:r>
    </w:p>
    <w:p w14:paraId="5B2CEDD4" w14:textId="2E440A22" w:rsidR="00D5417D" w:rsidRPr="00C223C5" w:rsidRDefault="00445A03" w:rsidP="003C58C0">
      <w:pPr>
        <w:pStyle w:val="Heading3"/>
        <w:spacing w:line="360" w:lineRule="auto"/>
      </w:pPr>
      <w:bookmarkStart w:id="51" w:name="_Toc147242390"/>
      <w:r w:rsidRPr="00C223C5">
        <w:t>3</w:t>
      </w:r>
      <w:r w:rsidR="00BD0690" w:rsidRPr="00C223C5">
        <w:t>.2 Number of partners in the partnership</w:t>
      </w:r>
      <w:bookmarkEnd w:id="51"/>
    </w:p>
    <w:p w14:paraId="5CCC8745" w14:textId="4737C78F" w:rsidR="00FB6B61" w:rsidRPr="00130EA6" w:rsidRDefault="00E73638" w:rsidP="003C58C0">
      <w:pPr>
        <w:spacing w:line="360" w:lineRule="auto"/>
      </w:pPr>
      <w:r w:rsidRPr="00130EA6">
        <w:t>Based on previous experience</w:t>
      </w:r>
      <w:r w:rsidR="00B73E16" w:rsidRPr="00130EA6">
        <w:t>,</w:t>
      </w:r>
      <w:r w:rsidRPr="00130EA6">
        <w:t xml:space="preserve"> the recommended partnership size is 6</w:t>
      </w:r>
      <w:r w:rsidR="006910EC" w:rsidRPr="00130EA6">
        <w:t>–</w:t>
      </w:r>
      <w:r w:rsidRPr="00130EA6">
        <w:t>8 partner</w:t>
      </w:r>
      <w:r w:rsidR="000F2250" w:rsidRPr="00130EA6">
        <w:t>s in</w:t>
      </w:r>
      <w:r w:rsidR="00B73E16" w:rsidRPr="00130EA6">
        <w:t xml:space="preserve"> a</w:t>
      </w:r>
      <w:r w:rsidR="000F2250" w:rsidRPr="00130EA6">
        <w:t xml:space="preserve"> regular project</w:t>
      </w:r>
      <w:r w:rsidRPr="00130EA6">
        <w:t>. Nevertheless, as general rule, the size and the composition of the partnership shall correspond to the planned project activities, therefore the number of partners in individual projects may differ from the recommended project size.</w:t>
      </w:r>
    </w:p>
    <w:p w14:paraId="033301A1" w14:textId="69D96F5B" w:rsidR="00B65201" w:rsidRPr="00130EA6" w:rsidRDefault="00FB6B61" w:rsidP="003C58C0">
      <w:pPr>
        <w:spacing w:line="360" w:lineRule="auto"/>
      </w:pPr>
      <w:r w:rsidRPr="00130EA6">
        <w:t>In each project</w:t>
      </w:r>
      <w:r w:rsidR="00B73E16" w:rsidRPr="00130EA6">
        <w:t>,</w:t>
      </w:r>
      <w:r w:rsidRPr="00130EA6">
        <w:t xml:space="preserve"> one partner should be introduced with a leading role representing the whole partnership, and act as a </w:t>
      </w:r>
      <w:r w:rsidR="00D45EFF" w:rsidRPr="00130EA6">
        <w:t>lead partner</w:t>
      </w:r>
      <w:r w:rsidRPr="00130EA6">
        <w:t>, and the other(s)</w:t>
      </w:r>
      <w:r w:rsidR="00C32F77" w:rsidRPr="00130EA6">
        <w:t xml:space="preserve"> – </w:t>
      </w:r>
      <w:r w:rsidRPr="00130EA6">
        <w:t>act as project partners (for more information</w:t>
      </w:r>
      <w:r w:rsidR="00B73E16" w:rsidRPr="00130EA6">
        <w:t>,</w:t>
      </w:r>
      <w:r w:rsidRPr="00130EA6">
        <w:t xml:space="preserve"> please refer to </w:t>
      </w:r>
      <w:r w:rsidR="00435C9F" w:rsidRPr="00130EA6">
        <w:t xml:space="preserve">Chapter III, </w:t>
      </w:r>
      <w:r w:rsidRPr="00130EA6">
        <w:t xml:space="preserve">Section </w:t>
      </w:r>
      <w:r w:rsidR="00435C9F" w:rsidRPr="00130EA6">
        <w:t>5 Project Management and Coordination</w:t>
      </w:r>
      <w:r w:rsidRPr="00130EA6">
        <w:t>).</w:t>
      </w:r>
    </w:p>
    <w:p w14:paraId="428B592F" w14:textId="4E97ED6F" w:rsidR="00B65201" w:rsidRPr="00C223C5" w:rsidRDefault="00445A03" w:rsidP="003C58C0">
      <w:pPr>
        <w:pStyle w:val="Heading3"/>
        <w:spacing w:line="360" w:lineRule="auto"/>
      </w:pPr>
      <w:bookmarkStart w:id="52" w:name="_Toc147242391"/>
      <w:r w:rsidRPr="00C223C5">
        <w:lastRenderedPageBreak/>
        <w:t>3</w:t>
      </w:r>
      <w:r w:rsidR="00B65201" w:rsidRPr="00C223C5">
        <w:t>.</w:t>
      </w:r>
      <w:r w:rsidR="00BD0690" w:rsidRPr="00C223C5">
        <w:t>3</w:t>
      </w:r>
      <w:r w:rsidR="00B65201" w:rsidRPr="00C223C5">
        <w:t xml:space="preserve"> </w:t>
      </w:r>
      <w:r w:rsidR="00D45EFF" w:rsidRPr="00C223C5">
        <w:t>Lead partner</w:t>
      </w:r>
      <w:bookmarkEnd w:id="52"/>
    </w:p>
    <w:p w14:paraId="5A4FEB43" w14:textId="0A31FD2B" w:rsidR="00FB6B61" w:rsidRPr="00130EA6" w:rsidRDefault="00FB6B61" w:rsidP="003C58C0">
      <w:pPr>
        <w:spacing w:line="360" w:lineRule="auto"/>
      </w:pPr>
      <w:r w:rsidRPr="00130EA6">
        <w:t xml:space="preserve">To act as a </w:t>
      </w:r>
      <w:r w:rsidR="00D45EFF" w:rsidRPr="00130EA6">
        <w:t>lead partner</w:t>
      </w:r>
      <w:r w:rsidRPr="00130EA6">
        <w:t xml:space="preserve"> in </w:t>
      </w:r>
      <w:r w:rsidR="00B73E16" w:rsidRPr="00130EA6">
        <w:t xml:space="preserve">a </w:t>
      </w:r>
      <w:r w:rsidRPr="00130EA6">
        <w:t>South Baltic Programme project</w:t>
      </w:r>
      <w:r w:rsidR="00B73E16" w:rsidRPr="00130EA6">
        <w:t>,</w:t>
      </w:r>
      <w:r w:rsidRPr="00130EA6">
        <w:t xml:space="preserve"> an organisation must meet</w:t>
      </w:r>
      <w:r w:rsidR="00B73E16" w:rsidRPr="00130EA6">
        <w:t xml:space="preserve"> the</w:t>
      </w:r>
      <w:r w:rsidRPr="00130EA6">
        <w:t xml:space="preserve"> criteria set by the Programme. Each </w:t>
      </w:r>
      <w:r w:rsidR="00D45EFF" w:rsidRPr="00130EA6">
        <w:t>lead partner</w:t>
      </w:r>
      <w:r w:rsidRPr="00130EA6">
        <w:t xml:space="preserve"> should have sufficient financial, management and organisational </w:t>
      </w:r>
      <w:r w:rsidRPr="00212ED7">
        <w:t>capacities</w:t>
      </w:r>
      <w:r w:rsidR="00B73E16" w:rsidRPr="00212ED7">
        <w:t>.</w:t>
      </w:r>
      <w:r w:rsidR="00212ED7" w:rsidRPr="00212ED7">
        <w:rPr>
          <w:rStyle w:val="FootnoteReference"/>
          <w:rFonts w:eastAsia="Open Sans" w:cs="Open Sans"/>
          <w:sz w:val="20"/>
          <w:szCs w:val="20"/>
        </w:rPr>
        <w:footnoteReference w:id="22"/>
      </w:r>
    </w:p>
    <w:p w14:paraId="4701425B" w14:textId="77777777" w:rsidR="00FB6B61" w:rsidRPr="004D427A" w:rsidRDefault="00FB6B61" w:rsidP="003C58C0">
      <w:pPr>
        <w:spacing w:line="360" w:lineRule="auto"/>
        <w:rPr>
          <w:rFonts w:ascii="Open Sans ExtraBold" w:hAnsiTheme="minorHAnsi"/>
          <w:b/>
          <w:color w:val="003399"/>
          <w:spacing w:val="-2"/>
          <w:szCs w:val="28"/>
        </w:rPr>
      </w:pPr>
      <w:r w:rsidRPr="004D427A">
        <w:rPr>
          <w:rFonts w:ascii="Open Sans ExtraBold" w:hAnsiTheme="minorHAnsi"/>
          <w:b/>
          <w:color w:val="003399"/>
          <w:spacing w:val="-2"/>
          <w:szCs w:val="28"/>
        </w:rPr>
        <w:t>Eligible legal form:</w:t>
      </w:r>
    </w:p>
    <w:p w14:paraId="7FE6867B" w14:textId="472D4E14" w:rsidR="004A1B84" w:rsidRPr="004B54EC" w:rsidRDefault="008455B0" w:rsidP="003C58C0">
      <w:pPr>
        <w:pStyle w:val="ListParagraph"/>
        <w:numPr>
          <w:ilvl w:val="0"/>
          <w:numId w:val="5"/>
        </w:numPr>
        <w:spacing w:line="360" w:lineRule="auto"/>
      </w:pPr>
      <w:r>
        <w:t>N</w:t>
      </w:r>
      <w:r w:rsidR="00FB6B61" w:rsidRPr="004B54EC">
        <w:t>ational, regional and local authorities</w:t>
      </w:r>
      <w:r w:rsidR="009A47B2">
        <w:t>.</w:t>
      </w:r>
    </w:p>
    <w:p w14:paraId="1094FCD3" w14:textId="37C14E67" w:rsidR="004A1B84" w:rsidRPr="004B54EC" w:rsidRDefault="008455B0" w:rsidP="003C58C0">
      <w:pPr>
        <w:pStyle w:val="ListParagraph"/>
        <w:numPr>
          <w:ilvl w:val="0"/>
          <w:numId w:val="5"/>
        </w:numPr>
        <w:spacing w:line="360" w:lineRule="auto"/>
      </w:pPr>
      <w:r>
        <w:t>B</w:t>
      </w:r>
      <w:r w:rsidR="00FB6B61" w:rsidRPr="004B54EC">
        <w:t xml:space="preserve">odies governed by public law (as defined in Art 2(1) of Directive 2014/24/EU of the European Parliament and of the Council of 26 February 2014 on public procurement and repealing Directive 2004/18/EC (OJ L 94, 28.3.2014). This means </w:t>
      </w:r>
      <w:r w:rsidR="00B73E16" w:rsidRPr="004B54EC">
        <w:t xml:space="preserve">a </w:t>
      </w:r>
      <w:r w:rsidR="00FB6B61" w:rsidRPr="004B54EC">
        <w:t>body fulfilling all three conditions:</w:t>
      </w:r>
    </w:p>
    <w:p w14:paraId="4F8FAF4C" w14:textId="77777777" w:rsidR="004A1B84" w:rsidRPr="004B54EC" w:rsidRDefault="00FB6B61" w:rsidP="003C58C0">
      <w:pPr>
        <w:pStyle w:val="ListParagraph"/>
        <w:numPr>
          <w:ilvl w:val="0"/>
          <w:numId w:val="18"/>
        </w:numPr>
        <w:spacing w:line="360" w:lineRule="auto"/>
      </w:pPr>
      <w:r w:rsidRPr="004B54EC">
        <w:t>established under public or private law for the specific purpose of meeting needs in the general interest, not having an industrial or commercial character, and</w:t>
      </w:r>
    </w:p>
    <w:p w14:paraId="118F3B28" w14:textId="77777777" w:rsidR="004A1B84" w:rsidRPr="004B54EC" w:rsidRDefault="00FB6B61" w:rsidP="003C58C0">
      <w:pPr>
        <w:pStyle w:val="ListParagraph"/>
        <w:numPr>
          <w:ilvl w:val="0"/>
          <w:numId w:val="18"/>
        </w:numPr>
        <w:spacing w:line="360" w:lineRule="auto"/>
      </w:pPr>
      <w:r w:rsidRPr="004B54EC">
        <w:t xml:space="preserve">having legal personality, and </w:t>
      </w:r>
    </w:p>
    <w:p w14:paraId="41BC0E9F" w14:textId="4725D5FE" w:rsidR="00FB6B61" w:rsidRPr="004B54EC" w:rsidRDefault="00FB6B61" w:rsidP="003C58C0">
      <w:pPr>
        <w:pStyle w:val="ListParagraph"/>
        <w:numPr>
          <w:ilvl w:val="0"/>
          <w:numId w:val="18"/>
        </w:numPr>
        <w:spacing w:line="360" w:lineRule="auto"/>
      </w:pPr>
      <w:r w:rsidRPr="004B54EC">
        <w:t>financed, for the most part, by the State,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w:t>
      </w:r>
    </w:p>
    <w:p w14:paraId="15A5FCFF" w14:textId="3019382C" w:rsidR="004A1B84" w:rsidRPr="004B54EC" w:rsidRDefault="008455B0" w:rsidP="003C58C0">
      <w:pPr>
        <w:pStyle w:val="ListParagraph"/>
        <w:numPr>
          <w:ilvl w:val="0"/>
          <w:numId w:val="5"/>
        </w:numPr>
        <w:spacing w:line="360" w:lineRule="auto"/>
      </w:pPr>
      <w:r>
        <w:t>A</w:t>
      </w:r>
      <w:r w:rsidR="00FB6B61" w:rsidRPr="004B54EC">
        <w:t>ssociations of one or several regional or local authorities</w:t>
      </w:r>
      <w:r w:rsidR="009A47B2">
        <w:t>.</w:t>
      </w:r>
    </w:p>
    <w:p w14:paraId="469CB768" w14:textId="528CC0D5" w:rsidR="004A1B84" w:rsidRPr="004B54EC" w:rsidRDefault="008455B0" w:rsidP="003C58C0">
      <w:pPr>
        <w:pStyle w:val="ListParagraph"/>
        <w:numPr>
          <w:ilvl w:val="0"/>
          <w:numId w:val="5"/>
        </w:numPr>
        <w:spacing w:line="360" w:lineRule="auto"/>
      </w:pPr>
      <w:r>
        <w:t>A</w:t>
      </w:r>
      <w:r w:rsidR="00FB6B61" w:rsidRPr="004B54EC">
        <w:t>ssociations of one or several bodies governed by public law</w:t>
      </w:r>
      <w:r w:rsidR="009A47B2">
        <w:t>.</w:t>
      </w:r>
    </w:p>
    <w:p w14:paraId="0784F495" w14:textId="73C0CD9B" w:rsidR="00FB6B61" w:rsidRPr="004B54EC" w:rsidRDefault="00FB6B61" w:rsidP="003C58C0">
      <w:pPr>
        <w:pStyle w:val="ListParagraph"/>
        <w:numPr>
          <w:ilvl w:val="0"/>
          <w:numId w:val="5"/>
        </w:numPr>
        <w:spacing w:line="360" w:lineRule="auto"/>
      </w:pPr>
      <w:r w:rsidRPr="004B54EC">
        <w:lastRenderedPageBreak/>
        <w:t>European Grouping of Territorial Cooperation (EGTC) (as defined in the Regulation (EC) No 1082/2006 as amended by Regulation (EU) No 1302/2013).</w:t>
      </w:r>
    </w:p>
    <w:p w14:paraId="12A7A8E9" w14:textId="77777777" w:rsidR="00FB6B61" w:rsidRPr="004D427A" w:rsidRDefault="00FB6B61" w:rsidP="003C58C0">
      <w:pPr>
        <w:spacing w:line="360" w:lineRule="auto"/>
        <w:rPr>
          <w:rFonts w:ascii="Open Sans ExtraBold" w:hAnsiTheme="minorHAnsi"/>
          <w:b/>
          <w:color w:val="003399"/>
          <w:spacing w:val="-2"/>
          <w:szCs w:val="28"/>
        </w:rPr>
      </w:pPr>
      <w:r w:rsidRPr="004D427A">
        <w:rPr>
          <w:rFonts w:ascii="Open Sans ExtraBold" w:hAnsiTheme="minorHAnsi"/>
          <w:b/>
          <w:color w:val="003399"/>
          <w:spacing w:val="-2"/>
          <w:szCs w:val="28"/>
        </w:rPr>
        <w:t xml:space="preserve">Geographical location: </w:t>
      </w:r>
    </w:p>
    <w:p w14:paraId="4507AFA3" w14:textId="77777777" w:rsidR="00FB6B61" w:rsidRPr="004B54EC" w:rsidRDefault="00FB6B61" w:rsidP="003C58C0">
      <w:pPr>
        <w:pStyle w:val="ListParagraph"/>
        <w:numPr>
          <w:ilvl w:val="0"/>
          <w:numId w:val="51"/>
        </w:numPr>
        <w:spacing w:line="360" w:lineRule="auto"/>
      </w:pPr>
      <w:r w:rsidRPr="004B54EC">
        <w:t>Programme area (referring to the legal address of the organisation).</w:t>
      </w:r>
    </w:p>
    <w:p w14:paraId="7C5FAC7B" w14:textId="26CF1D2C" w:rsidR="00D3614C" w:rsidRPr="004B54EC" w:rsidRDefault="00D3614C" w:rsidP="003C58C0">
      <w:pPr>
        <w:pStyle w:val="ListParagraph"/>
        <w:numPr>
          <w:ilvl w:val="0"/>
          <w:numId w:val="51"/>
        </w:numPr>
        <w:spacing w:line="360" w:lineRule="auto"/>
      </w:pPr>
      <w:r w:rsidRPr="004B54EC">
        <w:t xml:space="preserve">In justified cases, organisations </w:t>
      </w:r>
      <w:r w:rsidR="00B73E16" w:rsidRPr="004B54EC">
        <w:t xml:space="preserve">at the </w:t>
      </w:r>
      <w:r w:rsidRPr="004B54EC">
        <w:t>national or regional level that are located outside the Programme area</w:t>
      </w:r>
      <w:r w:rsidR="000F387D" w:rsidRPr="004B54EC">
        <w:t xml:space="preserve">, but in </w:t>
      </w:r>
      <w:r w:rsidR="00852743" w:rsidRPr="004B54EC">
        <w:t>the</w:t>
      </w:r>
      <w:r w:rsidR="000F387D" w:rsidRPr="004B54EC">
        <w:t xml:space="preserve"> Programme Member State,</w:t>
      </w:r>
      <w:r w:rsidRPr="004B54EC">
        <w:t xml:space="preserve"> but have a recogni</w:t>
      </w:r>
      <w:r w:rsidR="004C3F0F" w:rsidRPr="004B54EC">
        <w:t>s</w:t>
      </w:r>
      <w:r w:rsidRPr="004B54EC">
        <w:t>able impact and/or functional links with the Programme area. In such cases</w:t>
      </w:r>
      <w:r w:rsidR="00B73E16" w:rsidRPr="004B54EC">
        <w:t>,</w:t>
      </w:r>
      <w:r w:rsidRPr="004B54EC">
        <w:t xml:space="preserve"> it is strongly recommended that the JS is contacted in advance to confirm eligibility.</w:t>
      </w:r>
    </w:p>
    <w:p w14:paraId="6F8A6653" w14:textId="0348EC08" w:rsidR="00FB6B61" w:rsidRPr="004B54EC" w:rsidRDefault="00FB6B61" w:rsidP="003C58C0">
      <w:pPr>
        <w:pStyle w:val="ListParagraph"/>
        <w:numPr>
          <w:ilvl w:val="0"/>
          <w:numId w:val="51"/>
        </w:numPr>
        <w:spacing w:line="360" w:lineRule="auto"/>
      </w:pPr>
      <w:r w:rsidRPr="004B54EC">
        <w:t xml:space="preserve">The national/regional authorities which have territorial jurisdiction over </w:t>
      </w:r>
      <w:r w:rsidR="004D4FC9" w:rsidRPr="004B54EC">
        <w:t>the</w:t>
      </w:r>
      <w:r w:rsidRPr="004B54EC">
        <w:t xml:space="preserve"> Programme region </w:t>
      </w:r>
      <w:r w:rsidR="00B73E16" w:rsidRPr="004B54EC">
        <w:t xml:space="preserve">can </w:t>
      </w:r>
      <w:r w:rsidRPr="004B54EC">
        <w:t xml:space="preserve">also become </w:t>
      </w:r>
      <w:r w:rsidR="008122ED" w:rsidRPr="004B54EC">
        <w:t>lead partners</w:t>
      </w:r>
      <w:r w:rsidR="00B73E16" w:rsidRPr="004B54EC">
        <w:t>,</w:t>
      </w:r>
      <w:r w:rsidR="002B3E29" w:rsidRPr="004B54EC">
        <w:t xml:space="preserve"> if</w:t>
      </w:r>
      <w:r w:rsidR="001A3B93" w:rsidRPr="004B54EC">
        <w:t xml:space="preserve"> </w:t>
      </w:r>
      <w:r w:rsidR="002B3E29" w:rsidRPr="004B54EC">
        <w:t>justified</w:t>
      </w:r>
      <w:r w:rsidRPr="004B54EC">
        <w:t xml:space="preserve">. </w:t>
      </w:r>
    </w:p>
    <w:p w14:paraId="14943EF2" w14:textId="35B5092F" w:rsidR="00FB6B61" w:rsidRPr="00C223C5" w:rsidRDefault="00445A03" w:rsidP="003C58C0">
      <w:pPr>
        <w:pStyle w:val="Heading3"/>
        <w:spacing w:line="360" w:lineRule="auto"/>
      </w:pPr>
      <w:bookmarkStart w:id="53" w:name="_Toc147242392"/>
      <w:r w:rsidRPr="00C223C5">
        <w:t>3</w:t>
      </w:r>
      <w:r w:rsidR="00B65201" w:rsidRPr="00C223C5">
        <w:t>.</w:t>
      </w:r>
      <w:r w:rsidR="00BD0690" w:rsidRPr="00C223C5">
        <w:t>4</w:t>
      </w:r>
      <w:r w:rsidR="00B65201" w:rsidRPr="00C223C5">
        <w:t xml:space="preserve"> Project partners</w:t>
      </w:r>
      <w:bookmarkEnd w:id="53"/>
    </w:p>
    <w:p w14:paraId="163F94B2" w14:textId="3EAADBCC" w:rsidR="00FB6B61" w:rsidRPr="00186A08" w:rsidRDefault="00FB6B61" w:rsidP="003C58C0">
      <w:pPr>
        <w:spacing w:line="360" w:lineRule="auto"/>
      </w:pPr>
      <w:r w:rsidRPr="00186A08">
        <w:t xml:space="preserve">To act as a project partner in </w:t>
      </w:r>
      <w:r w:rsidR="00B73E16" w:rsidRPr="00186A08">
        <w:t xml:space="preserve">a </w:t>
      </w:r>
      <w:r w:rsidRPr="00186A08">
        <w:t>South Baltic Programme project</w:t>
      </w:r>
      <w:r w:rsidR="00B73E16" w:rsidRPr="00186A08">
        <w:t>,</w:t>
      </w:r>
      <w:r w:rsidRPr="00186A08">
        <w:t xml:space="preserve"> an organisation must meet </w:t>
      </w:r>
      <w:r w:rsidR="00B73E16" w:rsidRPr="00186A08">
        <w:t xml:space="preserve">the </w:t>
      </w:r>
      <w:r w:rsidRPr="00186A08">
        <w:t>criteria set by the Programme. Each partner should have sufficient financial, management and organisational capacities</w:t>
      </w:r>
      <w:r w:rsidR="00B73E16" w:rsidRPr="00186A08">
        <w:t>.</w:t>
      </w:r>
      <w:r w:rsidR="00212ED7">
        <w:rPr>
          <w:rStyle w:val="FootnoteReference"/>
          <w:rFonts w:eastAsia="Open Sans" w:cs="Open Sans"/>
          <w:sz w:val="20"/>
          <w:szCs w:val="20"/>
        </w:rPr>
        <w:footnoteReference w:id="23"/>
      </w:r>
    </w:p>
    <w:p w14:paraId="20382EC8" w14:textId="77777777" w:rsidR="00FB6B61" w:rsidRPr="0003579B" w:rsidRDefault="00FB6B61" w:rsidP="003C58C0">
      <w:pPr>
        <w:spacing w:line="360" w:lineRule="auto"/>
      </w:pPr>
      <w:r w:rsidRPr="0003579B">
        <w:t>Eligible legal form:</w:t>
      </w:r>
    </w:p>
    <w:p w14:paraId="7C1DBE8B" w14:textId="7CCE84D7" w:rsidR="004A1B84" w:rsidRPr="004B54EC" w:rsidRDefault="008455B0" w:rsidP="003C58C0">
      <w:pPr>
        <w:pStyle w:val="ListParagraph"/>
        <w:numPr>
          <w:ilvl w:val="0"/>
          <w:numId w:val="5"/>
        </w:numPr>
        <w:spacing w:line="360" w:lineRule="auto"/>
      </w:pPr>
      <w:r>
        <w:t>N</w:t>
      </w:r>
      <w:r w:rsidR="00FB6B61" w:rsidRPr="004B54EC">
        <w:t>ational, regional and local authorities</w:t>
      </w:r>
      <w:r w:rsidR="009A47B2">
        <w:t>.</w:t>
      </w:r>
    </w:p>
    <w:p w14:paraId="37130896" w14:textId="19CB27AA" w:rsidR="004A1B84" w:rsidRPr="004B54EC" w:rsidRDefault="008455B0" w:rsidP="003C58C0">
      <w:pPr>
        <w:pStyle w:val="ListParagraph"/>
        <w:numPr>
          <w:ilvl w:val="0"/>
          <w:numId w:val="5"/>
        </w:numPr>
        <w:spacing w:line="360" w:lineRule="auto"/>
      </w:pPr>
      <w:r>
        <w:t>B</w:t>
      </w:r>
      <w:r w:rsidR="00FB6B61" w:rsidRPr="004B54EC">
        <w:t>odies governed by public law (as defined in Art 2(1) of Directive 2014/24/EU)</w:t>
      </w:r>
      <w:r w:rsidR="009A47B2">
        <w:t>.</w:t>
      </w:r>
    </w:p>
    <w:p w14:paraId="70F76C9C" w14:textId="21BD6C77" w:rsidR="004A1B84" w:rsidRPr="004B54EC" w:rsidRDefault="008455B0" w:rsidP="003C58C0">
      <w:pPr>
        <w:pStyle w:val="ListParagraph"/>
        <w:numPr>
          <w:ilvl w:val="0"/>
          <w:numId w:val="5"/>
        </w:numPr>
        <w:spacing w:line="360" w:lineRule="auto"/>
      </w:pPr>
      <w:r>
        <w:t>A</w:t>
      </w:r>
      <w:r w:rsidR="00FB6B61" w:rsidRPr="004B54EC">
        <w:t>ssociations of one or several regional or local authorities</w:t>
      </w:r>
      <w:r w:rsidR="009A47B2">
        <w:t>.</w:t>
      </w:r>
    </w:p>
    <w:p w14:paraId="6BECAEB2" w14:textId="7AF6E48C" w:rsidR="004A1B84" w:rsidRPr="004B54EC" w:rsidRDefault="008455B0" w:rsidP="003C58C0">
      <w:pPr>
        <w:pStyle w:val="ListParagraph"/>
        <w:numPr>
          <w:ilvl w:val="0"/>
          <w:numId w:val="5"/>
        </w:numPr>
        <w:spacing w:line="360" w:lineRule="auto"/>
      </w:pPr>
      <w:r>
        <w:t>A</w:t>
      </w:r>
      <w:r w:rsidR="00FB6B61" w:rsidRPr="004B54EC">
        <w:t>ssociations of one or several bodies governed by public law</w:t>
      </w:r>
      <w:r w:rsidR="009A47B2">
        <w:t>.</w:t>
      </w:r>
    </w:p>
    <w:p w14:paraId="715464D6" w14:textId="6CAACE76" w:rsidR="004A1B84" w:rsidRPr="004B54EC" w:rsidRDefault="00FB6B61" w:rsidP="003C58C0">
      <w:pPr>
        <w:pStyle w:val="ListParagraph"/>
        <w:numPr>
          <w:ilvl w:val="0"/>
          <w:numId w:val="5"/>
        </w:numPr>
        <w:spacing w:line="360" w:lineRule="auto"/>
      </w:pPr>
      <w:r w:rsidRPr="004B54EC">
        <w:lastRenderedPageBreak/>
        <w:t>European Grouping of Territorial Cooperation (EGTC) (as defined in the Regulation (EC) No 1082/2006 as amended by Regulation (EU) No 1302/2013</w:t>
      </w:r>
      <w:r w:rsidR="00B73E16" w:rsidRPr="004B54EC">
        <w:t>)</w:t>
      </w:r>
      <w:r w:rsidR="009A47B2">
        <w:t>.</w:t>
      </w:r>
    </w:p>
    <w:p w14:paraId="0D64AC9A" w14:textId="6FBF6B97" w:rsidR="004A1B84" w:rsidRPr="004B54EC" w:rsidRDefault="00FB6B61" w:rsidP="003C58C0">
      <w:pPr>
        <w:pStyle w:val="ListParagraph"/>
        <w:numPr>
          <w:ilvl w:val="0"/>
          <w:numId w:val="5"/>
        </w:numPr>
        <w:spacing w:line="360" w:lineRule="auto"/>
      </w:pPr>
      <w:r w:rsidRPr="004B54EC">
        <w:t>SME associations and clusters</w:t>
      </w:r>
      <w:r w:rsidR="009A47B2">
        <w:t>.</w:t>
      </w:r>
    </w:p>
    <w:p w14:paraId="3A6607B0" w14:textId="1D8F8142" w:rsidR="004A1B84" w:rsidRPr="004B54EC" w:rsidRDefault="00FB6B61" w:rsidP="003C58C0">
      <w:pPr>
        <w:pStyle w:val="ListParagraph"/>
        <w:numPr>
          <w:ilvl w:val="0"/>
          <w:numId w:val="5"/>
        </w:numPr>
        <w:spacing w:line="360" w:lineRule="auto"/>
      </w:pPr>
      <w:r w:rsidRPr="004B54EC">
        <w:t>Chambers of commerce, trade unions and NGOs</w:t>
      </w:r>
      <w:r w:rsidR="009A47B2">
        <w:t>.</w:t>
      </w:r>
    </w:p>
    <w:p w14:paraId="43540EF9" w14:textId="74BE5909" w:rsidR="004A1B84" w:rsidRPr="004B54EC" w:rsidRDefault="008455B0" w:rsidP="003C58C0">
      <w:pPr>
        <w:pStyle w:val="ListParagraph"/>
        <w:numPr>
          <w:ilvl w:val="0"/>
          <w:numId w:val="5"/>
        </w:numPr>
        <w:spacing w:line="360" w:lineRule="auto"/>
      </w:pPr>
      <w:r>
        <w:t>O</w:t>
      </w:r>
      <w:r w:rsidR="00FB6B61" w:rsidRPr="004B54EC">
        <w:t>ther entities established under public or private law operating for the specific purpose of meeting needs in the general interest, not having an industrial or commercial character</w:t>
      </w:r>
      <w:r w:rsidR="00CF2921">
        <w:rPr>
          <w:rStyle w:val="FootnoteReference"/>
          <w:rFonts w:eastAsia="Open Sans" w:cs="Open Sans"/>
          <w:sz w:val="20"/>
          <w:szCs w:val="20"/>
        </w:rPr>
        <w:footnoteReference w:id="24"/>
      </w:r>
    </w:p>
    <w:p w14:paraId="46B9612C" w14:textId="23892371" w:rsidR="001C5F14" w:rsidRDefault="00FB6B61" w:rsidP="003C58C0">
      <w:pPr>
        <w:pStyle w:val="ListParagraph"/>
        <w:numPr>
          <w:ilvl w:val="0"/>
          <w:numId w:val="5"/>
        </w:numPr>
        <w:spacing w:line="360" w:lineRule="auto"/>
      </w:pPr>
      <w:r w:rsidRPr="004B54EC">
        <w:t>SMEs</w:t>
      </w:r>
      <w:r w:rsidR="00E54FAA" w:rsidRPr="004B54EC">
        <w:t>.</w:t>
      </w:r>
      <w:r w:rsidR="00CF2921">
        <w:rPr>
          <w:rStyle w:val="FootnoteReference"/>
          <w:rFonts w:eastAsia="Open Sans" w:cs="Open Sans"/>
          <w:sz w:val="20"/>
          <w:szCs w:val="20"/>
        </w:rPr>
        <w:footnoteReference w:id="25"/>
      </w:r>
    </w:p>
    <w:p w14:paraId="0DFC6E16" w14:textId="77777777" w:rsidR="00737440" w:rsidRPr="0003579B" w:rsidRDefault="00737440" w:rsidP="003C58C0">
      <w:pPr>
        <w:spacing w:line="360" w:lineRule="auto"/>
      </w:pPr>
      <w:r w:rsidRPr="0003579B">
        <w:t xml:space="preserve">Geographical location: </w:t>
      </w:r>
    </w:p>
    <w:p w14:paraId="2817F505" w14:textId="77777777" w:rsidR="00737440" w:rsidRPr="00186A08" w:rsidRDefault="00737440" w:rsidP="003C58C0">
      <w:pPr>
        <w:pStyle w:val="ListParagraph"/>
        <w:numPr>
          <w:ilvl w:val="0"/>
          <w:numId w:val="52"/>
        </w:numPr>
        <w:spacing w:line="360" w:lineRule="auto"/>
      </w:pPr>
      <w:bookmarkStart w:id="54" w:name="_Hlk136332563"/>
      <w:r w:rsidRPr="00186A08">
        <w:t>Programme area (referring to the legal address of the organisation).</w:t>
      </w:r>
    </w:p>
    <w:p w14:paraId="3A1F8F0B" w14:textId="6334ABF2" w:rsidR="00737440" w:rsidRPr="00186A08" w:rsidRDefault="000F387D" w:rsidP="003C58C0">
      <w:pPr>
        <w:pStyle w:val="ListParagraph"/>
        <w:numPr>
          <w:ilvl w:val="0"/>
          <w:numId w:val="52"/>
        </w:numPr>
        <w:spacing w:line="360" w:lineRule="auto"/>
      </w:pPr>
      <w:r w:rsidRPr="00186A08">
        <w:t>In justified cases, o</w:t>
      </w:r>
      <w:r w:rsidR="00737440" w:rsidRPr="00186A08">
        <w:t xml:space="preserve">rganisations located outside the Programme area, but </w:t>
      </w:r>
      <w:r w:rsidRPr="00186A08">
        <w:t>within the EU.</w:t>
      </w:r>
    </w:p>
    <w:p w14:paraId="55F29412" w14:textId="11A72606" w:rsidR="00737440" w:rsidRPr="00186A08" w:rsidRDefault="000F387D" w:rsidP="003C58C0">
      <w:pPr>
        <w:pStyle w:val="ListParagraph"/>
        <w:numPr>
          <w:ilvl w:val="0"/>
          <w:numId w:val="52"/>
        </w:numPr>
        <w:spacing w:line="360" w:lineRule="auto"/>
      </w:pPr>
      <w:r w:rsidRPr="00186A08">
        <w:t>Applicants located outside the Programme area, but in the EU Member States, are entitled to receive a maximum of 80% of ERDF co-financing.</w:t>
      </w:r>
    </w:p>
    <w:p w14:paraId="1A1B82A2" w14:textId="7D1BD888" w:rsidR="000F387D" w:rsidRPr="00186A08" w:rsidRDefault="000F387D" w:rsidP="003C58C0">
      <w:pPr>
        <w:pStyle w:val="ListParagraph"/>
        <w:numPr>
          <w:ilvl w:val="0"/>
          <w:numId w:val="52"/>
        </w:numPr>
        <w:spacing w:line="360" w:lineRule="auto"/>
      </w:pPr>
      <w:r w:rsidRPr="00186A08">
        <w:lastRenderedPageBreak/>
        <w:t>For partners from EU Member States outside the Programme area, special agreements are needed between the MA and the EU Member State in question, wherefore the JS should be consulted as early on as possible.</w:t>
      </w:r>
      <w:bookmarkEnd w:id="54"/>
    </w:p>
    <w:p w14:paraId="2C9159B1" w14:textId="3BFFD962" w:rsidR="00D759EE" w:rsidRPr="00C223C5" w:rsidRDefault="00445A03" w:rsidP="003C58C0">
      <w:pPr>
        <w:pStyle w:val="Heading3"/>
        <w:spacing w:line="360" w:lineRule="auto"/>
      </w:pPr>
      <w:bookmarkStart w:id="55" w:name="_Toc147242393"/>
      <w:r w:rsidRPr="00C223C5">
        <w:t>3</w:t>
      </w:r>
      <w:r w:rsidR="00D759EE" w:rsidRPr="00C223C5">
        <w:t>.</w:t>
      </w:r>
      <w:r w:rsidR="00EA417E" w:rsidRPr="00C223C5">
        <w:t>5</w:t>
      </w:r>
      <w:r w:rsidR="00D759EE" w:rsidRPr="00C223C5">
        <w:t xml:space="preserve"> Involvement of SMEs</w:t>
      </w:r>
      <w:bookmarkEnd w:id="55"/>
    </w:p>
    <w:p w14:paraId="33F77807" w14:textId="3E05175F" w:rsidR="00B476FE" w:rsidRPr="00186A08" w:rsidRDefault="00B476FE" w:rsidP="003C58C0">
      <w:pPr>
        <w:spacing w:line="360" w:lineRule="auto"/>
      </w:pPr>
      <w:r w:rsidRPr="00186A08">
        <w:t>The new Programming period of the Interreg South Baltic Programme 2021</w:t>
      </w:r>
      <w:r w:rsidR="006910EC" w:rsidRPr="00186A08">
        <w:t>–</w:t>
      </w:r>
      <w:r w:rsidRPr="00186A08">
        <w:t xml:space="preserve">2027 recognises a new Programme type of organisations as eligible project partners –SMEs. </w:t>
      </w:r>
    </w:p>
    <w:p w14:paraId="37C4844D" w14:textId="26D439A7" w:rsidR="00B476FE" w:rsidRPr="00186A08" w:rsidRDefault="00B476FE" w:rsidP="003C58C0">
      <w:pPr>
        <w:spacing w:line="360" w:lineRule="auto"/>
      </w:pPr>
      <w:r w:rsidRPr="00186A08">
        <w:t>SMEs are characteri</w:t>
      </w:r>
      <w:r w:rsidR="004C3F0F" w:rsidRPr="00186A08">
        <w:t>s</w:t>
      </w:r>
      <w:r w:rsidRPr="00186A08">
        <w:t xml:space="preserve">ed </w:t>
      </w:r>
      <w:r w:rsidR="00917363" w:rsidRPr="00186A08">
        <w:t xml:space="preserve">as </w:t>
      </w:r>
      <w:r w:rsidRPr="00186A08">
        <w:t>innovation-oriented, embraceable organi</w:t>
      </w:r>
      <w:r w:rsidR="004C3F0F" w:rsidRPr="00186A08">
        <w:t>s</w:t>
      </w:r>
      <w:r w:rsidRPr="00186A08">
        <w:t>ations</w:t>
      </w:r>
      <w:r w:rsidR="00917363" w:rsidRPr="00186A08">
        <w:t xml:space="preserve"> that are adaptable to changes and trends</w:t>
      </w:r>
      <w:r w:rsidRPr="00186A08">
        <w:t xml:space="preserve">. </w:t>
      </w:r>
      <w:r w:rsidR="00917363" w:rsidRPr="00186A08">
        <w:t xml:space="preserve">The involvement </w:t>
      </w:r>
      <w:r w:rsidRPr="00186A08">
        <w:t xml:space="preserve">of SMEs as project partners is believed to significantly help the project results to be promoted, </w:t>
      </w:r>
      <w:r w:rsidR="00917363" w:rsidRPr="00186A08">
        <w:t xml:space="preserve">maximise </w:t>
      </w:r>
      <w:r w:rsidRPr="00186A08">
        <w:t xml:space="preserve">their effect, </w:t>
      </w:r>
      <w:r w:rsidR="00917363" w:rsidRPr="00186A08">
        <w:t xml:space="preserve">and </w:t>
      </w:r>
      <w:r w:rsidRPr="00186A08">
        <w:t>stimulat</w:t>
      </w:r>
      <w:r w:rsidR="00917363" w:rsidRPr="00186A08">
        <w:t>e</w:t>
      </w:r>
      <w:r w:rsidRPr="00186A08">
        <w:t xml:space="preserve"> their growth and expansion. SMEs</w:t>
      </w:r>
      <w:r w:rsidR="00917363" w:rsidRPr="00186A08">
        <w:t>’</w:t>
      </w:r>
      <w:r w:rsidRPr="00186A08">
        <w:t xml:space="preserve"> support will get the project’s results </w:t>
      </w:r>
      <w:r w:rsidR="00A167AB" w:rsidRPr="00186A08">
        <w:t xml:space="preserve">to </w:t>
      </w:r>
      <w:r w:rsidRPr="00186A08">
        <w:t xml:space="preserve">the market faster, speed up and scale up the project’s operations, </w:t>
      </w:r>
      <w:r w:rsidR="00917363" w:rsidRPr="00186A08">
        <w:t>help</w:t>
      </w:r>
      <w:r w:rsidRPr="00186A08">
        <w:t xml:space="preserve"> research, development, and innovation (R&amp;D&amp;I) activities to keep up with market developments, boost business, use new technologies faster, and create market impact.</w:t>
      </w:r>
    </w:p>
    <w:p w14:paraId="09145D0F" w14:textId="01837E7A" w:rsidR="00B476FE" w:rsidRPr="00186A08" w:rsidRDefault="00917363" w:rsidP="003C58C0">
      <w:pPr>
        <w:spacing w:line="360" w:lineRule="auto"/>
      </w:pPr>
      <w:r w:rsidRPr="00186A08">
        <w:t>C</w:t>
      </w:r>
      <w:r w:rsidR="00B476FE" w:rsidRPr="00186A08">
        <w:t xml:space="preserve">ross-sectorial partnerships and collaborations are expected to be formed to put forward cross-border learning, </w:t>
      </w:r>
      <w:r w:rsidR="004336E4" w:rsidRPr="00186A08">
        <w:t>networking,</w:t>
      </w:r>
      <w:r w:rsidR="00B476FE" w:rsidRPr="00186A08">
        <w:t xml:space="preserve"> and cooperation; and not only to introduce project outputs and innovations to market </w:t>
      </w:r>
      <w:r w:rsidRPr="00186A08">
        <w:t xml:space="preserve">faster </w:t>
      </w:r>
      <w:r w:rsidR="00B476FE" w:rsidRPr="00186A08">
        <w:t xml:space="preserve">but </w:t>
      </w:r>
      <w:r w:rsidRPr="00186A08">
        <w:t xml:space="preserve">to </w:t>
      </w:r>
      <w:r w:rsidR="00B476FE" w:rsidRPr="00186A08">
        <w:t>adapt and sustain them more efficiently.</w:t>
      </w:r>
    </w:p>
    <w:p w14:paraId="514BB3A2" w14:textId="4EF618C1" w:rsidR="003A0343" w:rsidRPr="00186A08" w:rsidRDefault="003A0343" w:rsidP="003C58C0">
      <w:pPr>
        <w:spacing w:line="360" w:lineRule="auto"/>
      </w:pPr>
      <w:r w:rsidRPr="00186A08">
        <w:t xml:space="preserve">The following rules and requirements are set for SMEs </w:t>
      </w:r>
      <w:r w:rsidR="00917363" w:rsidRPr="00186A08">
        <w:t xml:space="preserve">participating </w:t>
      </w:r>
      <w:r w:rsidRPr="00186A08">
        <w:t xml:space="preserve">in projects as </w:t>
      </w:r>
      <w:r w:rsidR="00FF39FB" w:rsidRPr="00186A08">
        <w:t xml:space="preserve">project </w:t>
      </w:r>
      <w:r w:rsidRPr="00186A08">
        <w:t>partners:</w:t>
      </w:r>
    </w:p>
    <w:p w14:paraId="4C07D6DC" w14:textId="77777777" w:rsidR="003A0343" w:rsidRPr="00186A08" w:rsidRDefault="00B476FE" w:rsidP="003C58C0">
      <w:pPr>
        <w:pStyle w:val="ListParagraph"/>
        <w:numPr>
          <w:ilvl w:val="0"/>
          <w:numId w:val="53"/>
        </w:numPr>
        <w:spacing w:line="360" w:lineRule="auto"/>
      </w:pPr>
      <w:r w:rsidRPr="00186A08">
        <w:t>SMEs can participate as project partners in projects under all Programme Measures</w:t>
      </w:r>
      <w:r w:rsidR="00401669" w:rsidRPr="00186A08">
        <w:t>.</w:t>
      </w:r>
      <w:r w:rsidRPr="00186A08">
        <w:t xml:space="preserve"> </w:t>
      </w:r>
    </w:p>
    <w:p w14:paraId="702508D4" w14:textId="002ABFDD" w:rsidR="003A0343" w:rsidRPr="00186A08" w:rsidRDefault="00B476FE" w:rsidP="003C58C0">
      <w:pPr>
        <w:pStyle w:val="ListParagraph"/>
        <w:numPr>
          <w:ilvl w:val="0"/>
          <w:numId w:val="53"/>
        </w:numPr>
        <w:spacing w:line="360" w:lineRule="auto"/>
      </w:pPr>
      <w:r w:rsidRPr="00186A08">
        <w:t xml:space="preserve">SMEs cannot act as the </w:t>
      </w:r>
      <w:r w:rsidR="008122ED" w:rsidRPr="00186A08">
        <w:t>lead partners</w:t>
      </w:r>
      <w:r w:rsidRPr="00186A08">
        <w:t>.</w:t>
      </w:r>
    </w:p>
    <w:p w14:paraId="6B427335" w14:textId="6ACAB172" w:rsidR="00B476FE" w:rsidRPr="00186A08" w:rsidRDefault="00B476FE" w:rsidP="003C58C0">
      <w:pPr>
        <w:pStyle w:val="ListParagraph"/>
        <w:numPr>
          <w:ilvl w:val="0"/>
          <w:numId w:val="53"/>
        </w:numPr>
        <w:spacing w:line="360" w:lineRule="auto"/>
      </w:pPr>
      <w:r w:rsidRPr="00186A08">
        <w:lastRenderedPageBreak/>
        <w:t xml:space="preserve">Each organisation representing </w:t>
      </w:r>
      <w:r w:rsidR="00917363" w:rsidRPr="00186A08">
        <w:t xml:space="preserve">an </w:t>
      </w:r>
      <w:r w:rsidRPr="00186A08">
        <w:t xml:space="preserve">SME should be established at least 3 years before the announcement of the </w:t>
      </w:r>
      <w:r w:rsidR="0000618F" w:rsidRPr="00186A08">
        <w:t>c</w:t>
      </w:r>
      <w:r w:rsidRPr="00186A08">
        <w:t xml:space="preserve">all for </w:t>
      </w:r>
      <w:r w:rsidR="0000618F" w:rsidRPr="00186A08">
        <w:t>p</w:t>
      </w:r>
      <w:r w:rsidRPr="00186A08">
        <w:t xml:space="preserve">roposals for which each respective SME is applying. </w:t>
      </w:r>
    </w:p>
    <w:p w14:paraId="6084ACE8" w14:textId="028830AF" w:rsidR="0084236B" w:rsidRPr="00186A08" w:rsidRDefault="0084236B" w:rsidP="003C58C0">
      <w:pPr>
        <w:pStyle w:val="ListParagraph"/>
        <w:numPr>
          <w:ilvl w:val="0"/>
          <w:numId w:val="53"/>
        </w:numPr>
        <w:spacing w:line="360" w:lineRule="auto"/>
      </w:pPr>
      <w:r w:rsidRPr="00186A08">
        <w:t>To confirm their status</w:t>
      </w:r>
      <w:r w:rsidR="00917363" w:rsidRPr="00186A08">
        <w:t>,</w:t>
      </w:r>
      <w:r w:rsidRPr="00186A08">
        <w:t xml:space="preserve"> each SME must fill </w:t>
      </w:r>
      <w:r w:rsidR="00917363" w:rsidRPr="00186A08">
        <w:t xml:space="preserve">in </w:t>
      </w:r>
      <w:r w:rsidR="00DB02F4" w:rsidRPr="00186A08">
        <w:t xml:space="preserve">a relevant section </w:t>
      </w:r>
      <w:r w:rsidRPr="00186A08">
        <w:t xml:space="preserve">in the </w:t>
      </w:r>
      <w:r w:rsidR="0073021E" w:rsidRPr="00A42AF9">
        <w:rPr>
          <w:rFonts w:ascii="Open Sans SemiBold" w:eastAsia="Open Sans SemiBold" w:hAnsi="Open Sans SemiBold" w:cs="Open Sans SemiBold"/>
          <w:bCs/>
          <w:color w:val="003399"/>
        </w:rPr>
        <w:t>Supplementary Application Form</w:t>
      </w:r>
      <w:r w:rsidRPr="00186A08">
        <w:t xml:space="preserve"> and submit it in the </w:t>
      </w:r>
      <w:r w:rsidRPr="00186A08">
        <w:rPr>
          <w:rFonts w:ascii="Open Sans SemiBold" w:eastAsia="Open Sans SemiBold" w:hAnsi="Open Sans SemiBold" w:cs="Open Sans SemiBold"/>
          <w:bCs/>
          <w:color w:val="003399"/>
        </w:rPr>
        <w:t>WOD2021 Application System</w:t>
      </w:r>
      <w:r w:rsidR="00917363" w:rsidRPr="00186A08">
        <w:t>.</w:t>
      </w:r>
      <w:r w:rsidR="00CF2921">
        <w:rPr>
          <w:rStyle w:val="FootnoteReference"/>
          <w:rFonts w:eastAsia="Open Sans" w:cs="Open Sans"/>
          <w:sz w:val="20"/>
          <w:szCs w:val="20"/>
        </w:rPr>
        <w:footnoteReference w:id="26"/>
      </w:r>
    </w:p>
    <w:p w14:paraId="6F4AB60E" w14:textId="07107E1F" w:rsidR="00B476FE" w:rsidRDefault="00917363" w:rsidP="003C58C0">
      <w:pPr>
        <w:pStyle w:val="ListParagraph"/>
        <w:numPr>
          <w:ilvl w:val="0"/>
          <w:numId w:val="53"/>
        </w:numPr>
        <w:spacing w:line="360" w:lineRule="auto"/>
      </w:pPr>
      <w:r w:rsidRPr="00186A08">
        <w:t xml:space="preserve">The involvement </w:t>
      </w:r>
      <w:r w:rsidR="0084236B" w:rsidRPr="00186A08">
        <w:t xml:space="preserve">of SMEs in projects as projects partners should be justified and explained to be relevant and necessary for </w:t>
      </w:r>
      <w:r w:rsidRPr="00186A08">
        <w:t xml:space="preserve">the </w:t>
      </w:r>
      <w:r w:rsidR="0084236B" w:rsidRPr="00186A08">
        <w:t xml:space="preserve">achievement of </w:t>
      </w:r>
      <w:r w:rsidRPr="00186A08">
        <w:t xml:space="preserve">the </w:t>
      </w:r>
      <w:r w:rsidR="0084236B" w:rsidRPr="00186A08">
        <w:t>project results.</w:t>
      </w:r>
      <w:r w:rsidR="00CF2921">
        <w:rPr>
          <w:rStyle w:val="FootnoteReference"/>
          <w:rFonts w:eastAsia="Open Sans" w:cs="Open Sans"/>
          <w:sz w:val="20"/>
          <w:szCs w:val="20"/>
        </w:rPr>
        <w:footnoteReference w:id="27"/>
      </w:r>
      <w:r w:rsidR="0084236B" w:rsidRPr="00186A08">
        <w:t xml:space="preserve"> The relevance of each SMEs is subject to Quality assessment.</w:t>
      </w:r>
    </w:p>
    <w:p w14:paraId="501AECB3" w14:textId="56C38900" w:rsidR="00186A08" w:rsidRPr="00186A08" w:rsidRDefault="009A4269" w:rsidP="003C58C0">
      <w:pPr>
        <w:spacing w:line="360" w:lineRule="auto"/>
        <w:rPr>
          <w:rFonts w:eastAsia="Open Sans" w:cs="Open Sans"/>
          <w:sz w:val="20"/>
          <w:szCs w:val="20"/>
        </w:rPr>
      </w:pPr>
      <w:r>
        <w:rPr>
          <w:noProof/>
        </w:rPr>
        <mc:AlternateContent>
          <mc:Choice Requires="wps">
            <w:drawing>
              <wp:anchor distT="0" distB="0" distL="0" distR="0" simplePos="0" relativeHeight="251723263" behindDoc="1" locked="0" layoutInCell="1" allowOverlap="1" wp14:anchorId="030FD3AC" wp14:editId="280F42C7">
                <wp:simplePos x="0" y="0"/>
                <wp:positionH relativeFrom="margin">
                  <wp:align>right</wp:align>
                </wp:positionH>
                <wp:positionV relativeFrom="paragraph">
                  <wp:posOffset>51435</wp:posOffset>
                </wp:positionV>
                <wp:extent cx="5772785" cy="971550"/>
                <wp:effectExtent l="0" t="0" r="18415" b="19050"/>
                <wp:wrapTopAndBottom/>
                <wp:docPr id="1894181018" name="Textbox 1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971550"/>
                        </a:xfrm>
                        <a:prstGeom prst="rect">
                          <a:avLst/>
                        </a:prstGeom>
                        <a:ln w="12700">
                          <a:solidFill>
                            <a:srgbClr val="003399"/>
                          </a:solidFill>
                          <a:prstDash val="solid"/>
                        </a:ln>
                      </wps:spPr>
                      <wps:txbx>
                        <w:txbxContent>
                          <w:p w14:paraId="4D6577BB" w14:textId="24FE17C8" w:rsidR="00186A08" w:rsidRPr="004D427A" w:rsidRDefault="00186A08" w:rsidP="00805C22">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An organisation cannot join a partnership as a project partner if its only activity within its business profile consists of project coordination, management, project communication, and consulting!</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30FD3AC" id="_x0000_s1045" type="#_x0000_t202" alt="&quot;&quot;" style="position:absolute;margin-left:403.35pt;margin-top:4.05pt;width:454.55pt;height:76.5pt;z-index:-251593217;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" filled="f" strokecolor="#039" strokeweight="1pt">
                <v:path arrowok="t"/>
                <v:textbox inset="0,0,0,0">
                  <w:txbxContent>
                    <w:p w14:paraId="4D6577BB" w14:textId="24FE17C8" w:rsidR="00186A08" w:rsidRPr="004D427A" w:rsidRDefault="00186A08" w:rsidP="00805C22">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An organisation cannot join a partnership as a project partner if its only activity within its business profile consists of project coordination, management, project communication, and consulting!</w:t>
                      </w:r>
                    </w:p>
                  </w:txbxContent>
                </v:textbox>
                <w10:wrap type="topAndBottom" anchorx="margin"/>
              </v:shape>
            </w:pict>
          </mc:Fallback>
        </mc:AlternateContent>
      </w:r>
    </w:p>
    <w:p w14:paraId="012E6530" w14:textId="137F7108" w:rsidR="00B476FE" w:rsidRPr="00FD36B7" w:rsidRDefault="00FD36B7" w:rsidP="003C58C0">
      <w:pPr>
        <w:spacing w:line="360" w:lineRule="auto"/>
        <w:rPr>
          <w:rFonts w:ascii="Segoe UI" w:hAnsi="Segoe UI" w:cs="Segoe UI"/>
          <w:color w:val="1C4E6D"/>
          <w:lang w:val="en-GB"/>
        </w:rPr>
      </w:pPr>
      <w:r w:rsidRPr="00186A08">
        <w:rPr>
          <w:rFonts w:ascii="Open Sans ExtraBold"/>
          <w:b/>
          <w:color w:val="003399"/>
          <w:spacing w:val="-2"/>
        </w:rPr>
        <w:t>Note:</w:t>
      </w:r>
      <w:r>
        <w:rPr>
          <w:rFonts w:ascii="Segoe UI" w:hAnsi="Segoe UI" w:cs="Segoe UI"/>
          <w:color w:val="1C4E6D"/>
          <w:lang w:val="en-GB"/>
        </w:rPr>
        <w:t xml:space="preserve"> </w:t>
      </w:r>
      <w:r w:rsidRPr="00186A08">
        <w:t>i</w:t>
      </w:r>
      <w:r w:rsidR="00B476FE" w:rsidRPr="00186A08">
        <w:t xml:space="preserve">t is strongly recommended to involve partners from the public sector located in the Programme area of the respective participating country from where any SME is involved </w:t>
      </w:r>
      <w:r w:rsidR="00D71ADB" w:rsidRPr="00186A08">
        <w:t>to achieve</w:t>
      </w:r>
      <w:r w:rsidR="00B476FE" w:rsidRPr="00186A08">
        <w:t xml:space="preserve"> broader coverage of target groups, wider communication, and sustainability of </w:t>
      </w:r>
      <w:r w:rsidR="00D71ADB" w:rsidRPr="00186A08">
        <w:t xml:space="preserve">the </w:t>
      </w:r>
      <w:r w:rsidR="00B476FE" w:rsidRPr="00186A08">
        <w:t>project results maintained with the help of the public sector organi</w:t>
      </w:r>
      <w:r w:rsidR="004C3F0F" w:rsidRPr="00186A08">
        <w:t>s</w:t>
      </w:r>
      <w:r w:rsidR="00B476FE" w:rsidRPr="00186A08">
        <w:t>ation.</w:t>
      </w:r>
    </w:p>
    <w:p w14:paraId="167955EB" w14:textId="47E1C999" w:rsidR="00B476FE" w:rsidRPr="00C223C5" w:rsidRDefault="00445A03" w:rsidP="003C58C0">
      <w:pPr>
        <w:pStyle w:val="Heading3"/>
        <w:spacing w:line="360" w:lineRule="auto"/>
      </w:pPr>
      <w:bookmarkStart w:id="56" w:name="_Toc147242394"/>
      <w:r w:rsidRPr="00C223C5">
        <w:t>3</w:t>
      </w:r>
      <w:r w:rsidR="00FB6B61" w:rsidRPr="00C223C5">
        <w:t>.</w:t>
      </w:r>
      <w:r w:rsidR="00EA417E" w:rsidRPr="00C223C5">
        <w:t>6</w:t>
      </w:r>
      <w:r w:rsidR="00FB6B61" w:rsidRPr="00C223C5">
        <w:t xml:space="preserve"> Associated partners</w:t>
      </w:r>
      <w:bookmarkEnd w:id="56"/>
    </w:p>
    <w:p w14:paraId="5974C15D" w14:textId="608CBF55" w:rsidR="00B65201" w:rsidRPr="00186A08" w:rsidRDefault="00B65201" w:rsidP="003C58C0">
      <w:pPr>
        <w:spacing w:line="360" w:lineRule="auto"/>
      </w:pPr>
      <w:r w:rsidRPr="00186A08">
        <w:t>Associated partners</w:t>
      </w:r>
      <w:r w:rsidR="008201B7" w:rsidRPr="00186A08">
        <w:t xml:space="preserve"> represent important stakeholders/key target groups</w:t>
      </w:r>
      <w:r w:rsidR="00D07B80" w:rsidRPr="00186A08">
        <w:t>/</w:t>
      </w:r>
      <w:r w:rsidR="008201B7" w:rsidRPr="00186A08">
        <w:t xml:space="preserve">end users of the project results. </w:t>
      </w:r>
      <w:r w:rsidR="00CA6A0C" w:rsidRPr="00186A08">
        <w:t xml:space="preserve">If an </w:t>
      </w:r>
      <w:r w:rsidRPr="00186A08">
        <w:t xml:space="preserve">organisation </w:t>
      </w:r>
      <w:r w:rsidR="00CA6A0C" w:rsidRPr="00186A08">
        <w:t>is</w:t>
      </w:r>
      <w:r w:rsidRPr="00186A08">
        <w:t xml:space="preserve"> not able to comply with the </w:t>
      </w:r>
      <w:r w:rsidRPr="00186A08">
        <w:lastRenderedPageBreak/>
        <w:t>eligibility requirements needed for project partners</w:t>
      </w:r>
      <w:r w:rsidR="004B1C68" w:rsidRPr="00186A08">
        <w:t xml:space="preserve"> (or </w:t>
      </w:r>
      <w:r w:rsidR="00CA6A0C" w:rsidRPr="00186A08">
        <w:t>is</w:t>
      </w:r>
      <w:r w:rsidR="004B1C68" w:rsidRPr="00186A08">
        <w:t xml:space="preserve"> not willing to become financially involved in the project for other reasons)</w:t>
      </w:r>
      <w:r w:rsidRPr="00186A08">
        <w:t xml:space="preserve"> but </w:t>
      </w:r>
      <w:r w:rsidR="00CA6A0C" w:rsidRPr="00186A08">
        <w:t>is</w:t>
      </w:r>
      <w:r w:rsidRPr="00186A08">
        <w:t xml:space="preserve"> willing to take part in the </w:t>
      </w:r>
      <w:r w:rsidR="003356BC" w:rsidRPr="00186A08">
        <w:t>projects</w:t>
      </w:r>
      <w:r w:rsidR="00CA6A0C" w:rsidRPr="00186A08">
        <w:t xml:space="preserve">, it may take on the role of </w:t>
      </w:r>
      <w:r w:rsidR="00302217" w:rsidRPr="00186A08">
        <w:t xml:space="preserve">an </w:t>
      </w:r>
      <w:r w:rsidR="00CA6A0C" w:rsidRPr="00186A08">
        <w:t>associated partner.</w:t>
      </w:r>
    </w:p>
    <w:p w14:paraId="6F2AE4AC" w14:textId="58E74A13" w:rsidR="00B65201" w:rsidRPr="00186A08" w:rsidRDefault="00B65201" w:rsidP="003C58C0">
      <w:pPr>
        <w:spacing w:line="360" w:lineRule="auto"/>
      </w:pPr>
      <w:r w:rsidRPr="00186A08">
        <w:t xml:space="preserve">Associated partners do not </w:t>
      </w:r>
      <w:r w:rsidR="00CE3350" w:rsidRPr="00186A08">
        <w:t>share</w:t>
      </w:r>
      <w:r w:rsidR="003C40AC" w:rsidRPr="00186A08">
        <w:t xml:space="preserve"> the project</w:t>
      </w:r>
      <w:r w:rsidRPr="00186A08">
        <w:t xml:space="preserve"> budget: they dedicate their own resources to the project. At the same time, associated partners participate in the activities of the project but are not directly involved in the design and implementation of the project.</w:t>
      </w:r>
    </w:p>
    <w:p w14:paraId="5B939D28" w14:textId="583AAB4D" w:rsidR="00B65201" w:rsidRPr="00186A08" w:rsidRDefault="00B65201" w:rsidP="003C58C0">
      <w:pPr>
        <w:spacing w:line="360" w:lineRule="auto"/>
      </w:pPr>
      <w:r w:rsidRPr="00186A08">
        <w:t xml:space="preserve">There are </w:t>
      </w:r>
      <w:r w:rsidR="00A83316" w:rsidRPr="00186A08">
        <w:t xml:space="preserve">four </w:t>
      </w:r>
      <w:r w:rsidRPr="00186A08">
        <w:t xml:space="preserve">specific features of associated partners: </w:t>
      </w:r>
    </w:p>
    <w:p w14:paraId="30A24C56" w14:textId="72FEEDC7" w:rsidR="00B65201" w:rsidRPr="00186A08" w:rsidRDefault="00B65201" w:rsidP="003C58C0">
      <w:pPr>
        <w:pStyle w:val="ListParagraph"/>
        <w:numPr>
          <w:ilvl w:val="0"/>
          <w:numId w:val="20"/>
        </w:numPr>
        <w:spacing w:line="360" w:lineRule="auto"/>
      </w:pPr>
      <w:r w:rsidRPr="00186A08">
        <w:t>They cannot be subcontracted by the project partners to carry out parts of their activities in a project due to the potential risks relating to conflict of interest and infringement of fair competition rules</w:t>
      </w:r>
      <w:r w:rsidR="008455B0">
        <w:t>.</w:t>
      </w:r>
    </w:p>
    <w:p w14:paraId="1F0AC430" w14:textId="285F77CF" w:rsidR="00CE3350" w:rsidRPr="00186A08" w:rsidRDefault="00302217" w:rsidP="003C58C0">
      <w:pPr>
        <w:pStyle w:val="ListParagraph"/>
        <w:numPr>
          <w:ilvl w:val="0"/>
          <w:numId w:val="20"/>
        </w:numPr>
        <w:spacing w:line="360" w:lineRule="auto"/>
      </w:pPr>
      <w:r w:rsidRPr="00186A08">
        <w:t xml:space="preserve">Another </w:t>
      </w:r>
      <w:r w:rsidR="00B65201" w:rsidRPr="00186A08">
        <w:t xml:space="preserve">project partner can cover travel and accommodation expenditure of the associated partner if it is essential to the achievement of the project’s objectives and does not infringe the </w:t>
      </w:r>
      <w:r w:rsidR="00BF5C93" w:rsidRPr="00186A08">
        <w:t>S</w:t>
      </w:r>
      <w:r w:rsidR="00B65201" w:rsidRPr="00186A08">
        <w:t xml:space="preserve">tate </w:t>
      </w:r>
      <w:r w:rsidR="00BF5C93" w:rsidRPr="00186A08">
        <w:t>a</w:t>
      </w:r>
      <w:r w:rsidR="00B65201" w:rsidRPr="00186A08">
        <w:t>id rules. As a rule, these costs should be included in the Application Form</w:t>
      </w:r>
      <w:r w:rsidR="008455B0">
        <w:t>.</w:t>
      </w:r>
    </w:p>
    <w:p w14:paraId="50948A44" w14:textId="30132D60" w:rsidR="00B65201" w:rsidRPr="00186A08" w:rsidRDefault="00CE3350" w:rsidP="003C58C0">
      <w:pPr>
        <w:pStyle w:val="ListParagraph"/>
        <w:numPr>
          <w:ilvl w:val="0"/>
          <w:numId w:val="20"/>
        </w:numPr>
        <w:spacing w:line="360" w:lineRule="auto"/>
      </w:pPr>
      <w:r w:rsidRPr="00186A08">
        <w:t>They must not generate any revenues (</w:t>
      </w:r>
      <w:r w:rsidR="003356BC" w:rsidRPr="00186A08">
        <w:t>i.e.,</w:t>
      </w:r>
      <w:r w:rsidRPr="00186A08">
        <w:t xml:space="preserve"> payments from third parties outside the partnership that constitute income to the organisation as a result of its involvement in the project activities) </w:t>
      </w:r>
      <w:r w:rsidR="00302217" w:rsidRPr="00186A08">
        <w:t>from</w:t>
      </w:r>
      <w:r w:rsidRPr="00186A08">
        <w:t xml:space="preserve"> the project implementation and its outcomes.</w:t>
      </w:r>
    </w:p>
    <w:p w14:paraId="45394164" w14:textId="35D976B4" w:rsidR="00265804" w:rsidRPr="00186A08" w:rsidRDefault="00265804" w:rsidP="003C58C0">
      <w:pPr>
        <w:pStyle w:val="ListParagraph"/>
        <w:numPr>
          <w:ilvl w:val="0"/>
          <w:numId w:val="20"/>
        </w:numPr>
        <w:spacing w:line="360" w:lineRule="auto"/>
        <w:rPr>
          <w:rFonts w:eastAsia="Open Sans" w:cs="Open Sans"/>
        </w:rPr>
      </w:pPr>
      <w:r w:rsidRPr="00B45AD7">
        <w:t>Associated partners may come from the EU Member States only</w:t>
      </w:r>
      <w:r w:rsidR="00AB4F7D">
        <w:rPr>
          <w:rFonts w:eastAsia="Open Sans" w:cs="Open Sans"/>
        </w:rPr>
        <w:t>.</w:t>
      </w:r>
      <w:r w:rsidR="00AB4F7D">
        <w:rPr>
          <w:rStyle w:val="FootnoteReference"/>
          <w:rFonts w:eastAsia="Open Sans" w:cs="Open Sans"/>
          <w:sz w:val="20"/>
          <w:szCs w:val="20"/>
        </w:rPr>
        <w:footnoteReference w:id="28"/>
      </w:r>
    </w:p>
    <w:p w14:paraId="1D4A92CE" w14:textId="2AF3F6B7" w:rsidR="006E0C82" w:rsidRPr="00C223C5" w:rsidRDefault="006E0C82" w:rsidP="003C58C0">
      <w:pPr>
        <w:pStyle w:val="Heading3"/>
        <w:spacing w:line="360" w:lineRule="auto"/>
      </w:pPr>
      <w:bookmarkStart w:id="57" w:name="_Toc147242395"/>
      <w:bookmarkStart w:id="58" w:name="_Hlk136335265"/>
      <w:bookmarkStart w:id="59" w:name="_Hlk136333359"/>
      <w:r w:rsidRPr="00C223C5">
        <w:t>3.7 Involvement of project partners outside the Programme Member States</w:t>
      </w:r>
      <w:bookmarkEnd w:id="57"/>
    </w:p>
    <w:p w14:paraId="51361A03" w14:textId="7D298F92" w:rsidR="0018142B" w:rsidRPr="00186A08" w:rsidRDefault="0018142B" w:rsidP="003C58C0">
      <w:pPr>
        <w:spacing w:line="360" w:lineRule="auto"/>
      </w:pPr>
      <w:r w:rsidRPr="00186A08">
        <w:t xml:space="preserve">Project partners located outside the Programme Member States but within the EU Member States only must agree with the relevant authority (-ies) in their </w:t>
      </w:r>
      <w:r w:rsidRPr="00186A08">
        <w:lastRenderedPageBreak/>
        <w:t xml:space="preserve">respective EU Member State their participation in the project before applying in the call for proposals. </w:t>
      </w:r>
    </w:p>
    <w:p w14:paraId="27F72A67" w14:textId="73E61ECF" w:rsidR="00F34921" w:rsidRPr="00186A08" w:rsidRDefault="0018142B" w:rsidP="003C58C0">
      <w:pPr>
        <w:pStyle w:val="ListParagraph"/>
        <w:numPr>
          <w:ilvl w:val="0"/>
          <w:numId w:val="29"/>
        </w:numPr>
        <w:spacing w:line="360" w:lineRule="auto"/>
      </w:pPr>
      <w:r w:rsidRPr="00186A08">
        <w:t>In accordance with article 22(1) of the Regulation (EU) 2021/1059</w:t>
      </w:r>
      <w:r w:rsidR="00AB4F7D">
        <w:rPr>
          <w:rStyle w:val="FootnoteReference"/>
          <w:rFonts w:eastAsia="Open Sans" w:cs="Open Sans"/>
          <w:sz w:val="20"/>
          <w:szCs w:val="20"/>
        </w:rPr>
        <w:footnoteReference w:id="29"/>
      </w:r>
      <w:r w:rsidRPr="00186A08">
        <w:t xml:space="preserve"> the MA shall contact and will require a written acceptance from the relevant authority (-ies) of the concerned Member State outside the Programme Member States, to reimburse any amounts unduly paid to the project partner from this Member State, and also to confirm that it will follow the South Baltic Programme rules as described in the </w:t>
      </w:r>
      <w:hyperlink r:id="rId24" w:history="1">
        <w:r w:rsidR="00E2119A" w:rsidRPr="0093369F">
          <w:rPr>
            <w:rFonts w:ascii="Open Sans ExtraBold"/>
            <w:b/>
            <w:color w:val="003399"/>
            <w:spacing w:val="-2"/>
          </w:rPr>
          <w:t>Programme document</w:t>
        </w:r>
      </w:hyperlink>
      <w:r w:rsidR="00224E33" w:rsidRPr="00186A08">
        <w:t>,</w:t>
      </w:r>
      <w:r w:rsidRPr="00186A08">
        <w:t xml:space="preserve"> the Programme Manual</w:t>
      </w:r>
      <w:r w:rsidR="00224E33" w:rsidRPr="00186A08">
        <w:t>, and other relevant documents</w:t>
      </w:r>
      <w:bookmarkEnd w:id="58"/>
      <w:bookmarkEnd w:id="59"/>
      <w:r w:rsidR="00F34921" w:rsidRPr="00186A08">
        <w:t>.</w:t>
      </w:r>
    </w:p>
    <w:p w14:paraId="181F11AD" w14:textId="5F1AF35D" w:rsidR="00F34921" w:rsidRPr="00186A08" w:rsidRDefault="00F34921" w:rsidP="003C58C0">
      <w:pPr>
        <w:pStyle w:val="ListParagraph"/>
        <w:numPr>
          <w:ilvl w:val="0"/>
          <w:numId w:val="29"/>
        </w:numPr>
        <w:spacing w:line="360" w:lineRule="auto"/>
      </w:pPr>
      <w:r w:rsidRPr="00186A08">
        <w:t>Agreement between the MA and the respective authority (-ies) in the project partner’s Member State outside the Programme area is necessary. The agreement will be stipulating i.e., the responsibilities of that Member State regarding verification system under Article 46 of the Interreg regulation, irregularities, recoveries, external controls and audits, risk management, decommitment etc. and the mode of cooperation between the MA and the relevant authority (-ies) in the Member State outside the Programme area.</w:t>
      </w:r>
    </w:p>
    <w:p w14:paraId="254F7AAE" w14:textId="63A09516" w:rsidR="00FB6B61" w:rsidRPr="00C223C5" w:rsidRDefault="00445A03" w:rsidP="003C58C0">
      <w:pPr>
        <w:pStyle w:val="Heading3"/>
        <w:spacing w:line="360" w:lineRule="auto"/>
      </w:pPr>
      <w:bookmarkStart w:id="60" w:name="_Toc147242396"/>
      <w:r w:rsidRPr="00C223C5">
        <w:t>3</w:t>
      </w:r>
      <w:r w:rsidR="00FB6B61" w:rsidRPr="00C223C5">
        <w:t>.</w:t>
      </w:r>
      <w:r w:rsidR="006E0C82" w:rsidRPr="00C223C5">
        <w:t>8</w:t>
      </w:r>
      <w:r w:rsidR="00FB6B61" w:rsidRPr="00C223C5">
        <w:t xml:space="preserve"> Geographical location of the project activities</w:t>
      </w:r>
      <w:bookmarkStart w:id="61" w:name="III24"/>
      <w:bookmarkEnd w:id="60"/>
    </w:p>
    <w:bookmarkEnd w:id="61"/>
    <w:p w14:paraId="75222EA3" w14:textId="6AC09962" w:rsidR="00FB6B61" w:rsidRPr="00186A08" w:rsidRDefault="00FB6B61" w:rsidP="003C58C0">
      <w:pPr>
        <w:spacing w:line="360" w:lineRule="auto"/>
      </w:pPr>
      <w:r w:rsidRPr="00186A08">
        <w:t xml:space="preserve">As a rule, activities within the South Baltic Programme should be implemented in the Programme area </w:t>
      </w:r>
      <w:r w:rsidR="00B7310E" w:rsidRPr="00186A08">
        <w:t>to</w:t>
      </w:r>
      <w:r w:rsidRPr="00186A08">
        <w:t xml:space="preserve"> focus on bringing positive change to the Programme </w:t>
      </w:r>
      <w:r w:rsidR="00A65BF3" w:rsidRPr="00186A08">
        <w:t>A</w:t>
      </w:r>
      <w:r w:rsidRPr="00186A08">
        <w:t>rea.</w:t>
      </w:r>
    </w:p>
    <w:p w14:paraId="52691EC5" w14:textId="77D48DA2" w:rsidR="00061A31" w:rsidRDefault="00FB6B61" w:rsidP="003C58C0">
      <w:pPr>
        <w:spacing w:line="360" w:lineRule="auto"/>
      </w:pPr>
      <w:r w:rsidRPr="00186A08">
        <w:lastRenderedPageBreak/>
        <w:t xml:space="preserve">In exceptional cases, if </w:t>
      </w:r>
      <w:r w:rsidR="00CE3350" w:rsidRPr="00186A08">
        <w:t>necessary</w:t>
      </w:r>
      <w:r w:rsidRPr="00186A08">
        <w:t xml:space="preserve"> and </w:t>
      </w:r>
      <w:r w:rsidR="006416DF" w:rsidRPr="00186A08">
        <w:t xml:space="preserve">clearly justified, </w:t>
      </w:r>
      <w:r w:rsidRPr="00186A08">
        <w:t xml:space="preserve">some activities may be implemented outside the Programme area or even in the territories of other EU Member States. </w:t>
      </w:r>
    </w:p>
    <w:p w14:paraId="201D1D01" w14:textId="39E2EEFB" w:rsidR="00104334" w:rsidRPr="00186A08" w:rsidRDefault="00445A03" w:rsidP="003C58C0">
      <w:pPr>
        <w:pStyle w:val="Heading2"/>
        <w:spacing w:line="360" w:lineRule="auto"/>
      </w:pPr>
      <w:bookmarkStart w:id="62" w:name="_Toc147242397"/>
      <w:r w:rsidRPr="00186A08">
        <w:t>4</w:t>
      </w:r>
      <w:r w:rsidR="00FB6B61" w:rsidRPr="00186A08">
        <w:t xml:space="preserve"> COOPERATION IN </w:t>
      </w:r>
      <w:r w:rsidR="00BC37CC" w:rsidRPr="00186A08">
        <w:t xml:space="preserve">THE </w:t>
      </w:r>
      <w:r w:rsidR="00FB6B61" w:rsidRPr="00186A08">
        <w:t>SOUTH BALTIC: CROSS-BORDER APPROACH, INNOVATIVENESS AND ADDITIONAL CHARACTER OF PROJECTS</w:t>
      </w:r>
      <w:bookmarkEnd w:id="62"/>
    </w:p>
    <w:p w14:paraId="25EF3F20" w14:textId="77777777" w:rsidR="00104334" w:rsidRPr="00186A08" w:rsidRDefault="00104334" w:rsidP="003C58C0">
      <w:pPr>
        <w:spacing w:line="360" w:lineRule="auto"/>
      </w:pPr>
      <w:r w:rsidRPr="00186A08">
        <w:t xml:space="preserve">Cross-border cooperation among different organisations is the core of the South Baltic Programme. The projects are expected to apply it throughout their lifetime, demonstrating compliance with </w:t>
      </w:r>
      <w:r w:rsidRPr="00186A08">
        <w:rPr>
          <w:rFonts w:ascii="Open Sans SemiBold" w:eastAsia="Open Sans SemiBold" w:hAnsi="Open Sans SemiBold" w:cs="Open Sans SemiBold"/>
          <w:bCs/>
          <w:color w:val="003399"/>
        </w:rPr>
        <w:t>four cooperation criteria: joint development, implementation, staffing and financing.</w:t>
      </w:r>
    </w:p>
    <w:p w14:paraId="665574C2" w14:textId="77777777" w:rsidR="00104334" w:rsidRPr="003A4371" w:rsidRDefault="00104334" w:rsidP="003C58C0">
      <w:pPr>
        <w:spacing w:line="360" w:lineRule="auto"/>
        <w:rPr>
          <w:rFonts w:ascii="Segoe UI" w:hAnsi="Segoe UI" w:cs="Segoe UI"/>
          <w:b/>
          <w:lang w:val="en-GB"/>
        </w:rPr>
      </w:pPr>
      <w:r w:rsidRPr="004D427A">
        <w:rPr>
          <w:rFonts w:ascii="Open Sans SemiBold" w:eastAsia="Open Sans SemiBold" w:hAnsi="Open Sans SemiBold" w:cs="Open Sans SemiBold"/>
          <w:bCs/>
          <w:color w:val="003399"/>
        </w:rPr>
        <w:t>Joint development</w:t>
      </w:r>
      <w:r w:rsidRPr="003A4371">
        <w:rPr>
          <w:rFonts w:ascii="Segoe UI" w:hAnsi="Segoe UI" w:cs="Segoe UI"/>
          <w:b/>
          <w:lang w:val="en-GB"/>
        </w:rPr>
        <w:t xml:space="preserve"> </w:t>
      </w:r>
      <w:r w:rsidRPr="00186A08">
        <w:rPr>
          <w:rFonts w:eastAsia="Open Sans" w:cs="Open Sans"/>
        </w:rPr>
        <w:t>identifies:</w:t>
      </w:r>
    </w:p>
    <w:p w14:paraId="776D10E9" w14:textId="60931017" w:rsidR="00104334" w:rsidRPr="00186A08" w:rsidRDefault="00104334" w:rsidP="003C58C0">
      <w:pPr>
        <w:pStyle w:val="ListParagraph"/>
        <w:numPr>
          <w:ilvl w:val="0"/>
          <w:numId w:val="50"/>
        </w:numPr>
        <w:spacing w:line="360" w:lineRule="auto"/>
      </w:pPr>
      <w:r w:rsidRPr="00186A08">
        <w:t xml:space="preserve">Participation of all partners in the preparation of the project idea </w:t>
      </w:r>
      <w:r w:rsidR="004220FD" w:rsidRPr="00186A08">
        <w:t xml:space="preserve">and transformation of it </w:t>
      </w:r>
      <w:r w:rsidRPr="00186A08">
        <w:t xml:space="preserve">into a project </w:t>
      </w:r>
      <w:r w:rsidR="005565D0" w:rsidRPr="00186A08">
        <w:t>application</w:t>
      </w:r>
      <w:r w:rsidRPr="00186A08">
        <w:t>.</w:t>
      </w:r>
    </w:p>
    <w:p w14:paraId="2E2EC410" w14:textId="77777777" w:rsidR="00104334" w:rsidRPr="00186A08" w:rsidRDefault="00104334" w:rsidP="003C58C0">
      <w:pPr>
        <w:pStyle w:val="ListParagraph"/>
        <w:numPr>
          <w:ilvl w:val="0"/>
          <w:numId w:val="50"/>
        </w:numPr>
        <w:spacing w:line="360" w:lineRule="auto"/>
      </w:pPr>
      <w:r w:rsidRPr="00186A08">
        <w:t>Application of the knowledge and expertise of each partner, as well as determination of their motives and needs from the project.</w:t>
      </w:r>
    </w:p>
    <w:p w14:paraId="532478BF" w14:textId="77777777" w:rsidR="00104334" w:rsidRPr="00186A08" w:rsidRDefault="00104334" w:rsidP="003C58C0">
      <w:pPr>
        <w:pStyle w:val="ListParagraph"/>
        <w:numPr>
          <w:ilvl w:val="0"/>
          <w:numId w:val="50"/>
        </w:numPr>
        <w:spacing w:line="360" w:lineRule="auto"/>
      </w:pPr>
      <w:r w:rsidRPr="00186A08">
        <w:t>Determination of the management structure, division of tasks and allocation of responsibilities.</w:t>
      </w:r>
    </w:p>
    <w:p w14:paraId="3939168C" w14:textId="77777777" w:rsidR="00104334" w:rsidRPr="00186A08" w:rsidRDefault="00104334" w:rsidP="003C58C0">
      <w:pPr>
        <w:spacing w:line="360" w:lineRule="auto"/>
        <w:rPr>
          <w:rFonts w:eastAsia="Open Sans" w:cs="Open Sans"/>
        </w:rPr>
      </w:pPr>
      <w:r w:rsidRPr="004D427A">
        <w:rPr>
          <w:rFonts w:ascii="Open Sans SemiBold" w:eastAsia="Open Sans SemiBold" w:hAnsi="Open Sans SemiBold" w:cs="Open Sans SemiBold"/>
          <w:bCs/>
          <w:color w:val="003399"/>
        </w:rPr>
        <w:t>Joint implementation</w:t>
      </w:r>
      <w:r w:rsidRPr="003A4371">
        <w:rPr>
          <w:rFonts w:ascii="Segoe UI" w:hAnsi="Segoe UI" w:cs="Segoe UI"/>
          <w:lang w:val="en-GB"/>
        </w:rPr>
        <w:t xml:space="preserve"> </w:t>
      </w:r>
      <w:r w:rsidRPr="00186A08">
        <w:rPr>
          <w:rFonts w:eastAsia="Open Sans" w:cs="Open Sans"/>
        </w:rPr>
        <w:t>includes:</w:t>
      </w:r>
    </w:p>
    <w:p w14:paraId="5E22C68F" w14:textId="77777777" w:rsidR="00104334" w:rsidRPr="00186A08" w:rsidRDefault="00104334" w:rsidP="003C58C0">
      <w:pPr>
        <w:pStyle w:val="ListParagraph"/>
        <w:numPr>
          <w:ilvl w:val="0"/>
          <w:numId w:val="50"/>
        </w:numPr>
        <w:spacing w:line="360" w:lineRule="auto"/>
      </w:pPr>
      <w:r w:rsidRPr="00186A08">
        <w:t>Active collaboration between the different participating organisations in the delivery of the project outputs.</w:t>
      </w:r>
    </w:p>
    <w:p w14:paraId="772843A6" w14:textId="77777777" w:rsidR="00104334" w:rsidRPr="00186A08" w:rsidRDefault="00104334" w:rsidP="003C58C0">
      <w:pPr>
        <w:pStyle w:val="ListParagraph"/>
        <w:numPr>
          <w:ilvl w:val="0"/>
          <w:numId w:val="50"/>
        </w:numPr>
        <w:spacing w:line="360" w:lineRule="auto"/>
      </w:pPr>
      <w:r w:rsidRPr="00186A08">
        <w:t xml:space="preserve">Exchange of experience and best practices. </w:t>
      </w:r>
    </w:p>
    <w:p w14:paraId="5EB82021" w14:textId="24B351D1" w:rsidR="00104334" w:rsidRPr="00186A08" w:rsidRDefault="00104334" w:rsidP="003C58C0">
      <w:pPr>
        <w:pStyle w:val="ListParagraph"/>
        <w:numPr>
          <w:ilvl w:val="0"/>
          <w:numId w:val="50"/>
        </w:numPr>
        <w:spacing w:line="360" w:lineRule="auto"/>
      </w:pPr>
      <w:r w:rsidRPr="00186A08">
        <w:t xml:space="preserve">Involvement of </w:t>
      </w:r>
      <w:r w:rsidR="009A1E61">
        <w:t xml:space="preserve">                                                                                                                                                                                                                                                                  </w:t>
      </w:r>
      <w:r w:rsidRPr="00186A08">
        <w:t xml:space="preserve">several partners in each activity to </w:t>
      </w:r>
      <w:r w:rsidR="00BC37CC" w:rsidRPr="00186A08">
        <w:t xml:space="preserve">help in </w:t>
      </w:r>
      <w:r w:rsidRPr="00186A08">
        <w:t xml:space="preserve">developing a truly cross-border solution. </w:t>
      </w:r>
    </w:p>
    <w:p w14:paraId="3E4D971F" w14:textId="37DE34D2" w:rsidR="00EC7D3C" w:rsidRPr="003A4371" w:rsidRDefault="00EC7D3C" w:rsidP="003C58C0">
      <w:pPr>
        <w:spacing w:line="360" w:lineRule="auto"/>
        <w:rPr>
          <w:rFonts w:ascii="Segoe UI" w:hAnsi="Segoe UI" w:cs="Segoe UI"/>
          <w:lang w:val="en-GB"/>
        </w:rPr>
      </w:pPr>
      <w:r w:rsidRPr="004D427A">
        <w:rPr>
          <w:rFonts w:ascii="Open Sans SemiBold" w:eastAsia="Open Sans SemiBold" w:hAnsi="Open Sans SemiBold" w:cs="Open Sans SemiBold"/>
          <w:bCs/>
          <w:color w:val="003399"/>
        </w:rPr>
        <w:t xml:space="preserve">Joint </w:t>
      </w:r>
      <w:r w:rsidR="00883D1D" w:rsidRPr="004D427A">
        <w:rPr>
          <w:rFonts w:ascii="Open Sans SemiBold" w:eastAsia="Open Sans SemiBold" w:hAnsi="Open Sans SemiBold" w:cs="Open Sans SemiBold"/>
          <w:bCs/>
          <w:color w:val="003399"/>
        </w:rPr>
        <w:t>staffing</w:t>
      </w:r>
      <w:r w:rsidRPr="003A4371">
        <w:rPr>
          <w:rFonts w:ascii="Segoe UI" w:hAnsi="Segoe UI" w:cs="Segoe UI"/>
          <w:lang w:val="en-GB"/>
        </w:rPr>
        <w:t xml:space="preserve"> </w:t>
      </w:r>
      <w:r w:rsidRPr="00186A08">
        <w:rPr>
          <w:rFonts w:eastAsia="Open Sans" w:cs="Open Sans"/>
        </w:rPr>
        <w:t>requires:</w:t>
      </w:r>
    </w:p>
    <w:p w14:paraId="3E92373D" w14:textId="47D20113" w:rsidR="00EC7D3C" w:rsidRPr="00186A08" w:rsidRDefault="00EC7D3C" w:rsidP="003C58C0">
      <w:pPr>
        <w:pStyle w:val="ListParagraph"/>
        <w:numPr>
          <w:ilvl w:val="0"/>
          <w:numId w:val="50"/>
        </w:numPr>
        <w:spacing w:line="360" w:lineRule="auto"/>
      </w:pPr>
      <w:r w:rsidRPr="00186A08">
        <w:lastRenderedPageBreak/>
        <w:t>Contribution of staff of each partner to the project implementation and cross-border cooperation.</w:t>
      </w:r>
    </w:p>
    <w:p w14:paraId="52DB5E86" w14:textId="07C1B429" w:rsidR="00EC7D3C" w:rsidRPr="00186A08" w:rsidRDefault="00EC7D3C" w:rsidP="003C58C0">
      <w:pPr>
        <w:pStyle w:val="ListParagraph"/>
        <w:numPr>
          <w:ilvl w:val="0"/>
          <w:numId w:val="50"/>
        </w:numPr>
        <w:spacing w:line="360" w:lineRule="auto"/>
      </w:pPr>
      <w:r w:rsidRPr="00186A08">
        <w:t xml:space="preserve">Clear identification of roles between assigned staff members, so all </w:t>
      </w:r>
      <w:r w:rsidR="00956C20" w:rsidRPr="00186A08">
        <w:t xml:space="preserve">management </w:t>
      </w:r>
      <w:r w:rsidRPr="00186A08">
        <w:t xml:space="preserve">activities are </w:t>
      </w:r>
      <w:r w:rsidR="00956C20" w:rsidRPr="00186A08">
        <w:t>performed,</w:t>
      </w:r>
      <w:r w:rsidRPr="00186A08">
        <w:t xml:space="preserve"> and duplication of efforts is avoided.</w:t>
      </w:r>
    </w:p>
    <w:p w14:paraId="4B43A85E" w14:textId="24CD34BE" w:rsidR="00EC7D3C" w:rsidRPr="00186A08" w:rsidRDefault="00EC7D3C" w:rsidP="003C58C0">
      <w:pPr>
        <w:pStyle w:val="ListParagraph"/>
        <w:numPr>
          <w:ilvl w:val="0"/>
          <w:numId w:val="50"/>
        </w:numPr>
        <w:spacing w:line="360" w:lineRule="auto"/>
      </w:pPr>
      <w:r w:rsidRPr="00186A08">
        <w:t xml:space="preserve">Supervision of the implementation of </w:t>
      </w:r>
      <w:r w:rsidR="00BC37CC" w:rsidRPr="00186A08">
        <w:t xml:space="preserve">the </w:t>
      </w:r>
      <w:r w:rsidRPr="00186A08">
        <w:t>activities and project in general on behalf of the entire project partnership by designated partner</w:t>
      </w:r>
      <w:r w:rsidR="004220FD" w:rsidRPr="00186A08">
        <w:t>s</w:t>
      </w:r>
      <w:r w:rsidR="00D07B80" w:rsidRPr="00186A08">
        <w:t>/</w:t>
      </w:r>
      <w:r w:rsidRPr="00186A08">
        <w:t>specialist</w:t>
      </w:r>
      <w:r w:rsidR="004220FD" w:rsidRPr="00186A08">
        <w:t>s</w:t>
      </w:r>
      <w:r w:rsidRPr="00186A08">
        <w:t xml:space="preserve">. </w:t>
      </w:r>
    </w:p>
    <w:p w14:paraId="5C8E8BC4" w14:textId="1AF5301E" w:rsidR="00104334" w:rsidRPr="00186A08" w:rsidRDefault="00104334" w:rsidP="003C58C0">
      <w:pPr>
        <w:spacing w:line="360" w:lineRule="auto"/>
        <w:rPr>
          <w:rFonts w:eastAsia="Open Sans" w:cs="Open Sans"/>
        </w:rPr>
      </w:pPr>
      <w:r w:rsidRPr="004D427A">
        <w:rPr>
          <w:rFonts w:ascii="Open Sans SemiBold" w:eastAsia="Open Sans SemiBold" w:hAnsi="Open Sans SemiBold" w:cs="Open Sans SemiBold"/>
          <w:bCs/>
          <w:color w:val="003399"/>
        </w:rPr>
        <w:t xml:space="preserve">Joint </w:t>
      </w:r>
      <w:r w:rsidR="00EC7D3C" w:rsidRPr="004D427A">
        <w:rPr>
          <w:rFonts w:ascii="Open Sans SemiBold" w:eastAsia="Open Sans SemiBold" w:hAnsi="Open Sans SemiBold" w:cs="Open Sans SemiBold"/>
          <w:bCs/>
          <w:color w:val="003399"/>
        </w:rPr>
        <w:t>financing</w:t>
      </w:r>
      <w:r w:rsidRPr="003A4371">
        <w:rPr>
          <w:rFonts w:ascii="Segoe UI" w:hAnsi="Segoe UI" w:cs="Segoe UI"/>
          <w:lang w:val="en-GB"/>
        </w:rPr>
        <w:t xml:space="preserve"> </w:t>
      </w:r>
      <w:r w:rsidRPr="00186A08">
        <w:rPr>
          <w:rFonts w:eastAsia="Open Sans" w:cs="Open Sans"/>
        </w:rPr>
        <w:t>implies:</w:t>
      </w:r>
    </w:p>
    <w:p w14:paraId="6394C2E8" w14:textId="429A6E47" w:rsidR="00104334" w:rsidRPr="00186A08" w:rsidRDefault="00104334" w:rsidP="003C58C0">
      <w:pPr>
        <w:pStyle w:val="ListParagraph"/>
        <w:numPr>
          <w:ilvl w:val="0"/>
          <w:numId w:val="50"/>
        </w:numPr>
        <w:spacing w:line="360" w:lineRule="auto"/>
      </w:pPr>
      <w:r w:rsidRPr="00186A08">
        <w:t>Financial contribution to the project budget by each partner (</w:t>
      </w:r>
      <w:r w:rsidR="00956C20" w:rsidRPr="00186A08">
        <w:t>apart from</w:t>
      </w:r>
      <w:r w:rsidRPr="00186A08">
        <w:t xml:space="preserve"> associated partners). </w:t>
      </w:r>
    </w:p>
    <w:p w14:paraId="5D061CEA" w14:textId="54D5203D" w:rsidR="00104334" w:rsidRPr="00186A08" w:rsidRDefault="00104334" w:rsidP="003C58C0">
      <w:pPr>
        <w:pStyle w:val="ListParagraph"/>
        <w:numPr>
          <w:ilvl w:val="0"/>
          <w:numId w:val="50"/>
        </w:numPr>
        <w:spacing w:line="360" w:lineRule="auto"/>
      </w:pPr>
      <w:r w:rsidRPr="00186A08">
        <w:t xml:space="preserve">Reflection of responsibilities and involvement in the project by each partner in their </w:t>
      </w:r>
      <w:r w:rsidR="00956C20" w:rsidRPr="00186A08">
        <w:t>respective budget</w:t>
      </w:r>
      <w:r w:rsidRPr="00186A08">
        <w:t>.</w:t>
      </w:r>
    </w:p>
    <w:p w14:paraId="4E9026A8" w14:textId="4A99BC92" w:rsidR="00104334" w:rsidRPr="00186A08" w:rsidRDefault="00104334" w:rsidP="003C58C0">
      <w:pPr>
        <w:spacing w:line="360" w:lineRule="auto"/>
      </w:pPr>
      <w:r w:rsidRPr="00186A08">
        <w:t xml:space="preserve">In addition to the close cooperation characterised above with the four cooperation criteria, it is important to ensure that the project demonstrates </w:t>
      </w:r>
      <w:r w:rsidRPr="00186A08">
        <w:rPr>
          <w:rFonts w:ascii="Open Sans SemiBold" w:eastAsia="Open Sans SemiBold" w:hAnsi="Open Sans SemiBold" w:cs="Open Sans SemiBold"/>
          <w:bCs/>
          <w:color w:val="003399"/>
        </w:rPr>
        <w:t>the added value of a cross-border approach</w:t>
      </w:r>
      <w:r w:rsidR="0054166F" w:rsidRPr="00186A08">
        <w:rPr>
          <w:rFonts w:ascii="Open Sans SemiBold" w:eastAsia="Open Sans SemiBold" w:hAnsi="Open Sans SemiBold" w:cs="Open Sans SemiBold"/>
          <w:bCs/>
          <w:color w:val="003399"/>
        </w:rPr>
        <w:t>.</w:t>
      </w:r>
    </w:p>
    <w:p w14:paraId="0B27D938" w14:textId="316CDF93" w:rsidR="00104334" w:rsidRPr="00186A08" w:rsidRDefault="00104334" w:rsidP="003C58C0">
      <w:pPr>
        <w:spacing w:line="360" w:lineRule="auto"/>
      </w:pPr>
      <w:r w:rsidRPr="00186A08">
        <w:t>Usually, two kinds of projects are considered as adding cross-border value: ones in which the project problem is genuinely cross-border in nature</w:t>
      </w:r>
      <w:r w:rsidR="0054166F" w:rsidRPr="00186A08">
        <w:t>,</w:t>
      </w:r>
      <w:r w:rsidRPr="00186A08">
        <w:t xml:space="preserve"> and ones in which the cross-border cooperation strongly enhances the solutions jointly developed by many partners sharing the same problems in their respective regions.</w:t>
      </w:r>
    </w:p>
    <w:p w14:paraId="12C4F930" w14:textId="75A66EDF" w:rsidR="00104334" w:rsidRPr="00186A08" w:rsidRDefault="00104334" w:rsidP="003C58C0">
      <w:pPr>
        <w:spacing w:line="360" w:lineRule="auto"/>
      </w:pPr>
      <w:r w:rsidRPr="00186A08">
        <w:t xml:space="preserve">In the context of cooperation, two other important aspects of the South Baltic projects are their desired </w:t>
      </w:r>
      <w:r w:rsidRPr="00186A08">
        <w:rPr>
          <w:rFonts w:ascii="Open Sans SemiBold" w:eastAsia="Open Sans SemiBold" w:hAnsi="Open Sans SemiBold" w:cs="Open Sans SemiBold"/>
          <w:bCs/>
          <w:color w:val="003399"/>
        </w:rPr>
        <w:t>additional and innovative character</w:t>
      </w:r>
      <w:r w:rsidR="0054166F" w:rsidRPr="00186A08">
        <w:rPr>
          <w:rFonts w:ascii="Open Sans SemiBold" w:eastAsia="Open Sans SemiBold" w:hAnsi="Open Sans SemiBold" w:cs="Open Sans SemiBold"/>
          <w:bCs/>
          <w:color w:val="003399"/>
        </w:rPr>
        <w:t>.</w:t>
      </w:r>
    </w:p>
    <w:p w14:paraId="59E81A5C" w14:textId="06BC5B93" w:rsidR="004E58F6" w:rsidRDefault="00104334" w:rsidP="003C58C0">
      <w:pPr>
        <w:spacing w:line="360" w:lineRule="auto"/>
      </w:pPr>
      <w:r w:rsidRPr="00186A08">
        <w:t xml:space="preserve">By </w:t>
      </w:r>
      <w:r w:rsidRPr="00186A08">
        <w:rPr>
          <w:rFonts w:ascii="Open Sans SemiBold" w:eastAsia="Open Sans SemiBold" w:hAnsi="Open Sans SemiBold" w:cs="Open Sans SemiBold"/>
          <w:bCs/>
          <w:color w:val="003399"/>
        </w:rPr>
        <w:t>additional character</w:t>
      </w:r>
      <w:r w:rsidRPr="00186A08">
        <w:t xml:space="preserve"> it is meant that projects should explore new areas of activity, gather new ideas and inspiration, exchange know-how and best practices and learn from one another. </w:t>
      </w:r>
    </w:p>
    <w:p w14:paraId="28F45D29" w14:textId="48CC123A" w:rsidR="004E58F6" w:rsidRDefault="004D427A" w:rsidP="003C58C0">
      <w:pPr>
        <w:spacing w:line="360" w:lineRule="auto"/>
      </w:pPr>
      <w:r>
        <w:rPr>
          <w:noProof/>
        </w:rPr>
        <w:lastRenderedPageBreak/>
        <mc:AlternateContent>
          <mc:Choice Requires="wps">
            <w:drawing>
              <wp:inline distT="0" distB="0" distL="0" distR="0" wp14:anchorId="57E40A32" wp14:editId="37532100">
                <wp:extent cx="5772785" cy="619125"/>
                <wp:effectExtent l="0" t="0" r="18415" b="28575"/>
                <wp:docPr id="42555748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619125"/>
                        </a:xfrm>
                        <a:prstGeom prst="rect">
                          <a:avLst/>
                        </a:prstGeom>
                        <a:ln w="12700">
                          <a:solidFill>
                            <a:srgbClr val="003399"/>
                          </a:solidFill>
                          <a:prstDash val="solid"/>
                        </a:ln>
                      </wps:spPr>
                      <wps:txbx>
                        <w:txbxContent>
                          <w:p w14:paraId="581F6E01" w14:textId="77777777" w:rsidR="004D427A" w:rsidRPr="004D427A" w:rsidRDefault="004D427A" w:rsidP="004D427A">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tasks of the participating organisations performed on a regular basis will not be financed.</w:t>
                            </w:r>
                          </w:p>
                        </w:txbxContent>
                      </wps:txbx>
                      <wps:bodyPr wrap="square" lIns="0" tIns="0" rIns="0" bIns="0" rtlCol="0">
                        <a:noAutofit/>
                      </wps:bodyPr>
                    </wps:wsp>
                  </a:graphicData>
                </a:graphic>
              </wp:inline>
            </w:drawing>
          </mc:Choice>
          <mc:Fallback>
            <w:pict>
              <v:shape w14:anchorId="57E40A32" id="_x0000_s1046" type="#_x0000_t202" style="width:454.55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" filled="f" strokecolor="#039" strokeweight="1pt">
                <v:path arrowok="t"/>
                <v:textbox inset="0,0,0,0">
                  <w:txbxContent>
                    <w:p w14:paraId="581F6E01" w14:textId="77777777" w:rsidR="004D427A" w:rsidRPr="004D427A" w:rsidRDefault="004D427A" w:rsidP="004D427A">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tasks of the participating organisations performed on a regular basis will not be financed.</w:t>
                      </w:r>
                    </w:p>
                  </w:txbxContent>
                </v:textbox>
                <w10:anchorlock/>
              </v:shape>
            </w:pict>
          </mc:Fallback>
        </mc:AlternateContent>
      </w:r>
    </w:p>
    <w:p w14:paraId="6DA5DE1F" w14:textId="09BE0590" w:rsidR="00501987" w:rsidRDefault="00104334" w:rsidP="003C58C0">
      <w:pPr>
        <w:spacing w:line="360" w:lineRule="auto"/>
      </w:pPr>
      <w:r w:rsidRPr="00186A08">
        <w:t xml:space="preserve">The </w:t>
      </w:r>
      <w:r w:rsidRPr="00186A08">
        <w:rPr>
          <w:rFonts w:ascii="Open Sans SemiBold" w:eastAsia="Open Sans SemiBold" w:hAnsi="Open Sans SemiBold" w:cs="Open Sans SemiBold"/>
          <w:bCs/>
          <w:color w:val="003399"/>
        </w:rPr>
        <w:t>innovative character</w:t>
      </w:r>
      <w:r w:rsidRPr="00186A08">
        <w:t xml:space="preserve"> of a project does not necessarily mean an innovative theme or final </w:t>
      </w:r>
      <w:r w:rsidR="00983BA7" w:rsidRPr="00186A08">
        <w:t xml:space="preserve">outcome </w:t>
      </w:r>
      <w:r w:rsidRPr="00186A08">
        <w:t xml:space="preserve">of the project. It may be represented by approaching a challenge, problem or opportunity in an original way that offers significant advantages compared </w:t>
      </w:r>
      <w:r w:rsidR="0054166F" w:rsidRPr="00186A08">
        <w:t xml:space="preserve">to </w:t>
      </w:r>
      <w:r w:rsidRPr="00186A08">
        <w:t xml:space="preserve">the usual problem-solving strategies. It can also be innovative if a project promotes the application of scientific research among practitioners and/or if it brings a successful methodology to new user groups in other countries. </w:t>
      </w:r>
    </w:p>
    <w:p w14:paraId="16EE62CD" w14:textId="059C4510" w:rsidR="00806176" w:rsidRPr="00186A08" w:rsidRDefault="00445A03" w:rsidP="003C58C0">
      <w:pPr>
        <w:pStyle w:val="Heading2"/>
        <w:spacing w:line="360" w:lineRule="auto"/>
      </w:pPr>
      <w:bookmarkStart w:id="63" w:name="_Toc147242398"/>
      <w:r w:rsidRPr="00186A08">
        <w:t>5</w:t>
      </w:r>
      <w:r w:rsidR="00C80C36" w:rsidRPr="00186A08">
        <w:t xml:space="preserve"> PROJECT MANAGEMENT AND COORDINATION</w:t>
      </w:r>
      <w:bookmarkEnd w:id="63"/>
      <w:r w:rsidR="00C80C36" w:rsidRPr="00186A08">
        <w:t xml:space="preserve"> </w:t>
      </w:r>
    </w:p>
    <w:p w14:paraId="525120D9" w14:textId="77777777" w:rsidR="00806176" w:rsidRPr="003A4371" w:rsidRDefault="00806176" w:rsidP="003C58C0">
      <w:pPr>
        <w:spacing w:line="360" w:lineRule="auto"/>
        <w:rPr>
          <w:rFonts w:ascii="Segoe UI" w:hAnsi="Segoe UI" w:cs="Segoe UI"/>
          <w:lang w:val="en-GB"/>
        </w:rPr>
      </w:pPr>
      <w:r w:rsidRPr="00186A08">
        <w:t>Management and coordination of the project requires from the partnership to:</w:t>
      </w:r>
    </w:p>
    <w:p w14:paraId="7DB3EB01" w14:textId="77777777" w:rsidR="00F02ACF" w:rsidRPr="00186A08" w:rsidRDefault="00806176" w:rsidP="003C58C0">
      <w:pPr>
        <w:pStyle w:val="ListParagraph"/>
        <w:numPr>
          <w:ilvl w:val="0"/>
          <w:numId w:val="54"/>
        </w:numPr>
        <w:spacing w:line="360" w:lineRule="auto"/>
      </w:pPr>
      <w:r w:rsidRPr="00186A08">
        <w:t>Determine the role of each partner in the formed partnership.</w:t>
      </w:r>
    </w:p>
    <w:p w14:paraId="005B15E8" w14:textId="77777777" w:rsidR="00F02ACF" w:rsidRPr="00186A08" w:rsidRDefault="00806176" w:rsidP="003C58C0">
      <w:pPr>
        <w:pStyle w:val="ListParagraph"/>
        <w:numPr>
          <w:ilvl w:val="0"/>
          <w:numId w:val="54"/>
        </w:numPr>
        <w:spacing w:line="360" w:lineRule="auto"/>
      </w:pPr>
      <w:r w:rsidRPr="00186A08">
        <w:t>Propose a relevant management structure.</w:t>
      </w:r>
    </w:p>
    <w:p w14:paraId="29B5AA24" w14:textId="5D1EC43C" w:rsidR="00806176" w:rsidRPr="00186A08" w:rsidRDefault="00806176" w:rsidP="003C58C0">
      <w:pPr>
        <w:pStyle w:val="ListParagraph"/>
        <w:numPr>
          <w:ilvl w:val="0"/>
          <w:numId w:val="54"/>
        </w:numPr>
        <w:spacing w:line="360" w:lineRule="auto"/>
      </w:pPr>
      <w:r w:rsidRPr="00186A08">
        <w:t>Form a coordination and decision-making system.</w:t>
      </w:r>
    </w:p>
    <w:p w14:paraId="418637FF" w14:textId="3DDDA98B" w:rsidR="00403598" w:rsidRPr="00C223C5" w:rsidRDefault="00445A03" w:rsidP="003C58C0">
      <w:pPr>
        <w:pStyle w:val="Heading3"/>
        <w:spacing w:line="360" w:lineRule="auto"/>
      </w:pPr>
      <w:bookmarkStart w:id="64" w:name="_Toc147242399"/>
      <w:r w:rsidRPr="00C223C5">
        <w:t>5</w:t>
      </w:r>
      <w:r w:rsidR="00C80C36" w:rsidRPr="00C223C5">
        <w:t>.1 Role in the partnership</w:t>
      </w:r>
      <w:bookmarkEnd w:id="64"/>
    </w:p>
    <w:p w14:paraId="584EBE61" w14:textId="7856DACC" w:rsidR="00806176" w:rsidRPr="00186A08" w:rsidRDefault="00806176" w:rsidP="003C58C0">
      <w:pPr>
        <w:spacing w:line="360" w:lineRule="auto"/>
      </w:pPr>
      <w:r w:rsidRPr="00186A08">
        <w:t>In the framework of the project</w:t>
      </w:r>
      <w:r w:rsidR="00FE1FD6" w:rsidRPr="00186A08">
        <w:t>,</w:t>
      </w:r>
      <w:r w:rsidRPr="00186A08">
        <w:t xml:space="preserve"> one partner should lead the project in the name of all partners and represent the whole partnership. The </w:t>
      </w:r>
      <w:r w:rsidR="008122ED" w:rsidRPr="00186A08">
        <w:t>l</w:t>
      </w:r>
      <w:r w:rsidR="00D45EFF" w:rsidRPr="00186A08">
        <w:t>ead partner</w:t>
      </w:r>
      <w:r w:rsidRPr="00186A08">
        <w:t xml:space="preserve"> is recommended to be designated at early stages of the project proposal formation so th</w:t>
      </w:r>
      <w:r w:rsidR="00FE1FD6" w:rsidRPr="00186A08">
        <w:t>e</w:t>
      </w:r>
      <w:r w:rsidRPr="00186A08">
        <w:t xml:space="preserve"> responsibilities and task within the partnership are clearly determined.</w:t>
      </w:r>
    </w:p>
    <w:p w14:paraId="5FEA846D" w14:textId="2B78D78B" w:rsidR="00806176" w:rsidRPr="00186A08" w:rsidRDefault="00806176" w:rsidP="003C58C0">
      <w:pPr>
        <w:spacing w:line="360" w:lineRule="auto"/>
      </w:pPr>
      <w:r w:rsidRPr="00186A08">
        <w:t xml:space="preserve">The following main tasks should be carried out by the </w:t>
      </w:r>
      <w:r w:rsidR="008122ED" w:rsidRPr="00186A08">
        <w:rPr>
          <w:rFonts w:ascii="Open Sans SemiBold" w:eastAsia="Open Sans SemiBold" w:hAnsi="Open Sans SemiBold" w:cs="Open Sans SemiBold"/>
          <w:bCs/>
          <w:color w:val="003399"/>
        </w:rPr>
        <w:t>l</w:t>
      </w:r>
      <w:r w:rsidR="00D45EFF" w:rsidRPr="00186A08">
        <w:rPr>
          <w:rFonts w:ascii="Open Sans SemiBold" w:eastAsia="Open Sans SemiBold" w:hAnsi="Open Sans SemiBold" w:cs="Open Sans SemiBold"/>
          <w:bCs/>
          <w:color w:val="003399"/>
        </w:rPr>
        <w:t>ead partner</w:t>
      </w:r>
      <w:r w:rsidR="00FE1FD6" w:rsidRPr="00186A08">
        <w:rPr>
          <w:rFonts w:ascii="Open Sans SemiBold" w:eastAsia="Open Sans SemiBold" w:hAnsi="Open Sans SemiBold" w:cs="Open Sans SemiBold"/>
          <w:bCs/>
          <w:color w:val="003399"/>
        </w:rPr>
        <w:t>:</w:t>
      </w:r>
    </w:p>
    <w:p w14:paraId="42E726BC" w14:textId="5539403F" w:rsidR="00806176" w:rsidRPr="00186A08" w:rsidRDefault="00806176" w:rsidP="003C58C0">
      <w:pPr>
        <w:pStyle w:val="ListParagraph"/>
        <w:numPr>
          <w:ilvl w:val="0"/>
          <w:numId w:val="55"/>
        </w:numPr>
        <w:spacing w:line="360" w:lineRule="auto"/>
      </w:pPr>
      <w:r w:rsidRPr="00186A08">
        <w:t xml:space="preserve">Representation of </w:t>
      </w:r>
      <w:r w:rsidR="00B03225" w:rsidRPr="00186A08">
        <w:t>the partnership</w:t>
      </w:r>
      <w:r w:rsidRPr="00186A08">
        <w:t xml:space="preserve"> and responsibility for the overall coordination, management, and implementation of the project. </w:t>
      </w:r>
    </w:p>
    <w:p w14:paraId="09088B55" w14:textId="14FD1E7E" w:rsidR="002C071E" w:rsidRPr="00186A08" w:rsidRDefault="002C071E" w:rsidP="003C58C0">
      <w:pPr>
        <w:pStyle w:val="ListParagraph"/>
        <w:numPr>
          <w:ilvl w:val="0"/>
          <w:numId w:val="55"/>
        </w:numPr>
        <w:spacing w:line="360" w:lineRule="auto"/>
      </w:pPr>
      <w:r w:rsidRPr="00186A08">
        <w:t>Sign</w:t>
      </w:r>
      <w:r w:rsidR="00956D33" w:rsidRPr="00186A08">
        <w:t>ing</w:t>
      </w:r>
      <w:r w:rsidRPr="00186A08">
        <w:t xml:space="preserve"> of the Subsidy Contract for the project with the M</w:t>
      </w:r>
      <w:r w:rsidR="00956D33" w:rsidRPr="00186A08">
        <w:t>anaging Authority</w:t>
      </w:r>
      <w:r w:rsidR="002C7170" w:rsidRPr="00186A08">
        <w:t>.</w:t>
      </w:r>
    </w:p>
    <w:p w14:paraId="357EC516" w14:textId="76812C9B" w:rsidR="002C071E" w:rsidRPr="00186A08" w:rsidRDefault="00956D33" w:rsidP="003C58C0">
      <w:pPr>
        <w:pStyle w:val="ListParagraph"/>
        <w:numPr>
          <w:ilvl w:val="0"/>
          <w:numId w:val="55"/>
        </w:numPr>
        <w:spacing w:line="360" w:lineRule="auto"/>
      </w:pPr>
      <w:r w:rsidRPr="00186A08">
        <w:lastRenderedPageBreak/>
        <w:t xml:space="preserve">Signing </w:t>
      </w:r>
      <w:r w:rsidR="002C071E" w:rsidRPr="00186A08">
        <w:t>of the Partnership Agreements with the project partner(s) agreeing on the division of tasks, responsibilities and financial obligations and liabilities.</w:t>
      </w:r>
    </w:p>
    <w:p w14:paraId="38C5CBAB" w14:textId="4CBFC077" w:rsidR="00806176" w:rsidRPr="00186A08" w:rsidRDefault="00806176" w:rsidP="003C58C0">
      <w:pPr>
        <w:pStyle w:val="ListParagraph"/>
        <w:numPr>
          <w:ilvl w:val="0"/>
          <w:numId w:val="55"/>
        </w:numPr>
        <w:spacing w:line="360" w:lineRule="auto"/>
      </w:pPr>
      <w:r w:rsidRPr="00186A08">
        <w:t xml:space="preserve">Coordination of proper communication between </w:t>
      </w:r>
      <w:r w:rsidR="00956D33" w:rsidRPr="00186A08">
        <w:t>project p</w:t>
      </w:r>
      <w:r w:rsidRPr="00186A08">
        <w:t>artners, the M</w:t>
      </w:r>
      <w:r w:rsidR="00956D33" w:rsidRPr="00186A08">
        <w:t xml:space="preserve">anaging </w:t>
      </w:r>
      <w:r w:rsidR="003356BC" w:rsidRPr="00186A08">
        <w:t>Authority,</w:t>
      </w:r>
      <w:r w:rsidRPr="00186A08">
        <w:t xml:space="preserve"> and the J</w:t>
      </w:r>
      <w:r w:rsidR="00B03225" w:rsidRPr="00186A08">
        <w:t>oint Secretariat</w:t>
      </w:r>
      <w:r w:rsidRPr="00186A08">
        <w:t>.</w:t>
      </w:r>
    </w:p>
    <w:p w14:paraId="17234301" w14:textId="00F9D01E" w:rsidR="00806176" w:rsidRPr="00186A08" w:rsidRDefault="00806176" w:rsidP="003C58C0">
      <w:pPr>
        <w:pStyle w:val="ListParagraph"/>
        <w:numPr>
          <w:ilvl w:val="0"/>
          <w:numId w:val="55"/>
        </w:numPr>
        <w:spacing w:line="360" w:lineRule="auto"/>
      </w:pPr>
      <w:r w:rsidRPr="00186A08">
        <w:t>Assurance of the correct implementation of actions within the project and respective reporting procedures.</w:t>
      </w:r>
    </w:p>
    <w:p w14:paraId="0AB1C36D" w14:textId="461BF471" w:rsidR="003719C7" w:rsidRPr="00186A08" w:rsidRDefault="003719C7" w:rsidP="003C58C0">
      <w:pPr>
        <w:pStyle w:val="ListParagraph"/>
        <w:numPr>
          <w:ilvl w:val="0"/>
          <w:numId w:val="55"/>
        </w:numPr>
        <w:spacing w:line="360" w:lineRule="auto"/>
      </w:pPr>
      <w:r w:rsidRPr="00186A08">
        <w:t>Prepar</w:t>
      </w:r>
      <w:r w:rsidR="00502ACF" w:rsidRPr="00186A08">
        <w:t>ation</w:t>
      </w:r>
      <w:r w:rsidRPr="00186A08">
        <w:t xml:space="preserve"> and submi</w:t>
      </w:r>
      <w:r w:rsidR="00502ACF" w:rsidRPr="00186A08">
        <w:t>ssion of</w:t>
      </w:r>
      <w:r w:rsidRPr="00186A08">
        <w:t xml:space="preserve"> the project progress report</w:t>
      </w:r>
      <w:r w:rsidR="00502ACF" w:rsidRPr="00186A08">
        <w:t>s</w:t>
      </w:r>
      <w:r w:rsidRPr="00186A08">
        <w:t>.</w:t>
      </w:r>
    </w:p>
    <w:p w14:paraId="3ECE35B6" w14:textId="353B718C" w:rsidR="00806176" w:rsidRPr="00186A08" w:rsidRDefault="00806176" w:rsidP="003C58C0">
      <w:pPr>
        <w:pStyle w:val="ListParagraph"/>
        <w:numPr>
          <w:ilvl w:val="0"/>
          <w:numId w:val="55"/>
        </w:numPr>
        <w:spacing w:line="360" w:lineRule="auto"/>
      </w:pPr>
      <w:r w:rsidRPr="00186A08">
        <w:t>Monitoring of the implementation progress and achievement of the project outputs</w:t>
      </w:r>
      <w:r w:rsidR="00AF2B83" w:rsidRPr="00186A08">
        <w:t xml:space="preserve"> and results</w:t>
      </w:r>
      <w:r w:rsidRPr="00186A08">
        <w:t>.</w:t>
      </w:r>
    </w:p>
    <w:p w14:paraId="07EF5160" w14:textId="77777777" w:rsidR="00806176" w:rsidRPr="00186A08" w:rsidRDefault="00806176" w:rsidP="003C58C0">
      <w:pPr>
        <w:pStyle w:val="ListParagraph"/>
        <w:numPr>
          <w:ilvl w:val="0"/>
          <w:numId w:val="55"/>
        </w:numPr>
        <w:spacing w:line="360" w:lineRule="auto"/>
      </w:pPr>
      <w:r w:rsidRPr="00186A08">
        <w:t>Insuring the sound financial management and timely transfer of the Programme funding to partners.</w:t>
      </w:r>
    </w:p>
    <w:p w14:paraId="03118394" w14:textId="75C11850" w:rsidR="00806176" w:rsidRPr="00186A08" w:rsidRDefault="00806176" w:rsidP="003C58C0">
      <w:pPr>
        <w:pStyle w:val="ListParagraph"/>
        <w:numPr>
          <w:ilvl w:val="0"/>
          <w:numId w:val="55"/>
        </w:numPr>
        <w:spacing w:line="360" w:lineRule="auto"/>
      </w:pPr>
      <w:r w:rsidRPr="00186A08">
        <w:t>Maintenance of proper visibility and communication in the project.</w:t>
      </w:r>
    </w:p>
    <w:p w14:paraId="0BCE9EF1" w14:textId="35AA7515" w:rsidR="00A153C1" w:rsidRPr="00186A08" w:rsidRDefault="00A153C1" w:rsidP="003C58C0">
      <w:pPr>
        <w:pStyle w:val="ListParagraph"/>
        <w:numPr>
          <w:ilvl w:val="0"/>
          <w:numId w:val="55"/>
        </w:numPr>
        <w:spacing w:line="360" w:lineRule="auto"/>
      </w:pPr>
      <w:r w:rsidRPr="00186A08">
        <w:t>Ensuring durability of project results and outputs</w:t>
      </w:r>
      <w:r w:rsidR="00CD42A8" w:rsidRPr="00186A08">
        <w:t>.</w:t>
      </w:r>
    </w:p>
    <w:p w14:paraId="51F184FA" w14:textId="25F88B15" w:rsidR="00806176" w:rsidRPr="00186A08" w:rsidRDefault="00806176" w:rsidP="003C58C0">
      <w:pPr>
        <w:spacing w:line="360" w:lineRule="auto"/>
      </w:pPr>
      <w:r w:rsidRPr="00186A08">
        <w:t xml:space="preserve">The following main tasks should be carried out by the </w:t>
      </w:r>
      <w:r w:rsidRPr="00186A08">
        <w:rPr>
          <w:rFonts w:ascii="Open Sans SemiBold" w:eastAsia="Open Sans SemiBold" w:hAnsi="Open Sans SemiBold" w:cs="Open Sans SemiBold"/>
          <w:bCs/>
          <w:color w:val="003399"/>
        </w:rPr>
        <w:t xml:space="preserve">project </w:t>
      </w:r>
      <w:r w:rsidR="00956D33" w:rsidRPr="00186A08">
        <w:rPr>
          <w:rFonts w:ascii="Open Sans SemiBold" w:eastAsia="Open Sans SemiBold" w:hAnsi="Open Sans SemiBold" w:cs="Open Sans SemiBold"/>
          <w:bCs/>
          <w:color w:val="003399"/>
        </w:rPr>
        <w:t>p</w:t>
      </w:r>
      <w:r w:rsidRPr="00186A08">
        <w:rPr>
          <w:rFonts w:ascii="Open Sans SemiBold" w:eastAsia="Open Sans SemiBold" w:hAnsi="Open Sans SemiBold" w:cs="Open Sans SemiBold"/>
          <w:bCs/>
          <w:color w:val="003399"/>
        </w:rPr>
        <w:t>artner(s)</w:t>
      </w:r>
      <w:r w:rsidR="00FE1FD6" w:rsidRPr="00186A08">
        <w:rPr>
          <w:rFonts w:ascii="Open Sans SemiBold" w:eastAsia="Open Sans SemiBold" w:hAnsi="Open Sans SemiBold" w:cs="Open Sans SemiBold"/>
          <w:bCs/>
          <w:color w:val="003399"/>
        </w:rPr>
        <w:t>:</w:t>
      </w:r>
    </w:p>
    <w:p w14:paraId="39875E37" w14:textId="4AFC65E4" w:rsidR="00806176" w:rsidRPr="00186A08" w:rsidRDefault="00806176" w:rsidP="003C58C0">
      <w:pPr>
        <w:pStyle w:val="ListParagraph"/>
        <w:numPr>
          <w:ilvl w:val="0"/>
          <w:numId w:val="56"/>
        </w:numPr>
        <w:spacing w:line="360" w:lineRule="auto"/>
      </w:pPr>
      <w:r w:rsidRPr="00186A08">
        <w:t xml:space="preserve">Carrying </w:t>
      </w:r>
      <w:r w:rsidR="0080572D" w:rsidRPr="00186A08">
        <w:t xml:space="preserve">out </w:t>
      </w:r>
      <w:r w:rsidRPr="00186A08">
        <w:t xml:space="preserve">actions necessary for timely and full implementation of the </w:t>
      </w:r>
      <w:r w:rsidR="00AF2B83" w:rsidRPr="00186A08">
        <w:t>p</w:t>
      </w:r>
      <w:r w:rsidRPr="00186A08">
        <w:t>artner’s part of the project.</w:t>
      </w:r>
    </w:p>
    <w:p w14:paraId="193623F9" w14:textId="0E13D014" w:rsidR="00806176" w:rsidRPr="00186A08" w:rsidRDefault="00806176" w:rsidP="003C58C0">
      <w:pPr>
        <w:pStyle w:val="ListParagraph"/>
        <w:numPr>
          <w:ilvl w:val="0"/>
          <w:numId w:val="56"/>
        </w:numPr>
        <w:spacing w:line="360" w:lineRule="auto"/>
      </w:pPr>
      <w:r w:rsidRPr="00186A08">
        <w:t xml:space="preserve">Informing the </w:t>
      </w:r>
      <w:r w:rsidR="008122ED" w:rsidRPr="00186A08">
        <w:t>l</w:t>
      </w:r>
      <w:r w:rsidR="00D45EFF" w:rsidRPr="00186A08">
        <w:t>ead partner</w:t>
      </w:r>
      <w:r w:rsidRPr="00186A08">
        <w:t xml:space="preserve"> about needed changes in project activities or budget in a timely manner.</w:t>
      </w:r>
    </w:p>
    <w:p w14:paraId="4D0EBF94" w14:textId="77777777" w:rsidR="00806176" w:rsidRPr="00186A08" w:rsidRDefault="00806176" w:rsidP="003C58C0">
      <w:pPr>
        <w:pStyle w:val="ListParagraph"/>
        <w:numPr>
          <w:ilvl w:val="0"/>
          <w:numId w:val="56"/>
        </w:numPr>
        <w:spacing w:line="360" w:lineRule="auto"/>
      </w:pPr>
      <w:r w:rsidRPr="00186A08">
        <w:t>Maintaining separate accounting records or a separate accounting code for the purpose of implementation of the project.</w:t>
      </w:r>
    </w:p>
    <w:p w14:paraId="49D86C7A" w14:textId="57F08F5C" w:rsidR="00806176" w:rsidRPr="00186A08" w:rsidRDefault="00806176" w:rsidP="003C58C0">
      <w:pPr>
        <w:pStyle w:val="ListParagraph"/>
        <w:numPr>
          <w:ilvl w:val="0"/>
          <w:numId w:val="56"/>
        </w:numPr>
        <w:spacing w:line="360" w:lineRule="auto"/>
      </w:pPr>
      <w:r w:rsidRPr="00186A08">
        <w:t xml:space="preserve">Preparing </w:t>
      </w:r>
      <w:r w:rsidR="00E74D81" w:rsidRPr="00186A08">
        <w:t xml:space="preserve">partner progress </w:t>
      </w:r>
      <w:r w:rsidRPr="00186A08">
        <w:t>report</w:t>
      </w:r>
      <w:r w:rsidR="00E74D81" w:rsidRPr="00186A08">
        <w:t>(s)</w:t>
      </w:r>
      <w:r w:rsidRPr="00186A08">
        <w:t xml:space="preserve"> </w:t>
      </w:r>
      <w:r w:rsidR="0080572D" w:rsidRPr="00186A08">
        <w:t xml:space="preserve">for </w:t>
      </w:r>
      <w:r w:rsidRPr="00186A08">
        <w:t>the First Level Controller</w:t>
      </w:r>
      <w:r w:rsidR="00E74D81" w:rsidRPr="00186A08">
        <w:t>.</w:t>
      </w:r>
    </w:p>
    <w:p w14:paraId="0EC66AC0" w14:textId="77777777" w:rsidR="00806176" w:rsidRPr="00186A08" w:rsidRDefault="00806176" w:rsidP="003C58C0">
      <w:pPr>
        <w:pStyle w:val="ListParagraph"/>
        <w:numPr>
          <w:ilvl w:val="0"/>
          <w:numId w:val="56"/>
        </w:numPr>
        <w:spacing w:line="360" w:lineRule="auto"/>
      </w:pPr>
      <w:r w:rsidRPr="00186A08">
        <w:t>Ensuring the relevant representation and visibility of the Partner’s part of a project.</w:t>
      </w:r>
    </w:p>
    <w:p w14:paraId="6B103A8B" w14:textId="47294E35" w:rsidR="00C80C36" w:rsidRPr="00C223C5" w:rsidRDefault="00445A03" w:rsidP="003C58C0">
      <w:pPr>
        <w:pStyle w:val="Heading3"/>
        <w:spacing w:line="360" w:lineRule="auto"/>
      </w:pPr>
      <w:bookmarkStart w:id="65" w:name="_Toc147242400"/>
      <w:r w:rsidRPr="00C223C5">
        <w:lastRenderedPageBreak/>
        <w:t>5</w:t>
      </w:r>
      <w:r w:rsidR="00C80C36" w:rsidRPr="00C223C5">
        <w:t>.2 Management structure</w:t>
      </w:r>
      <w:bookmarkEnd w:id="65"/>
    </w:p>
    <w:p w14:paraId="4EE53DB2" w14:textId="35698040" w:rsidR="00806176" w:rsidRPr="004D427A" w:rsidRDefault="00806176" w:rsidP="003C58C0">
      <w:pPr>
        <w:pStyle w:val="SBText"/>
        <w:spacing w:line="360" w:lineRule="auto"/>
        <w:rPr>
          <w:rFonts w:ascii="Open Sans" w:eastAsiaTheme="minorHAnsi" w:hAnsi="Open Sans" w:cstheme="minorBidi"/>
          <w:color w:val="auto"/>
          <w:sz w:val="24"/>
          <w:szCs w:val="22"/>
          <w:lang w:val="en-US" w:eastAsia="en-US"/>
        </w:rPr>
      </w:pPr>
      <w:r w:rsidRPr="004D427A">
        <w:rPr>
          <w:rFonts w:ascii="Open Sans" w:eastAsiaTheme="minorHAnsi" w:hAnsi="Open Sans" w:cstheme="minorBidi"/>
          <w:color w:val="auto"/>
          <w:sz w:val="24"/>
          <w:szCs w:val="22"/>
          <w:lang w:val="en-US" w:eastAsia="en-US"/>
        </w:rPr>
        <w:t xml:space="preserve">Such structure should cover three main areas of project management, reflected by three management roles: </w:t>
      </w:r>
      <w:r w:rsidRPr="004D427A">
        <w:rPr>
          <w:rFonts w:ascii="Open Sans SemiBold" w:eastAsia="Open Sans SemiBold" w:hAnsi="Open Sans SemiBold" w:cs="Open Sans SemiBold"/>
          <w:bCs/>
          <w:color w:val="003399"/>
          <w:sz w:val="24"/>
          <w:szCs w:val="24"/>
          <w:lang w:val="en-US" w:eastAsia="en-US"/>
        </w:rPr>
        <w:t>project manager, finance manager and information manager</w:t>
      </w:r>
      <w:r w:rsidR="0080572D" w:rsidRPr="004D427A">
        <w:rPr>
          <w:rFonts w:ascii="Open Sans SemiBold" w:eastAsia="Open Sans SemiBold" w:hAnsi="Open Sans SemiBold" w:cs="Open Sans SemiBold"/>
          <w:bCs/>
          <w:color w:val="003399"/>
          <w:sz w:val="24"/>
          <w:szCs w:val="24"/>
          <w:lang w:val="en-US" w:eastAsia="en-US"/>
        </w:rPr>
        <w:t>.</w:t>
      </w:r>
    </w:p>
    <w:p w14:paraId="4B7CBC8A" w14:textId="77777777" w:rsidR="00806176" w:rsidRPr="004A334F" w:rsidRDefault="00806176" w:rsidP="003C58C0">
      <w:pPr>
        <w:spacing w:line="360" w:lineRule="auto"/>
      </w:pPr>
      <w:r w:rsidRPr="004A334F">
        <w:t xml:space="preserve">These roles can be performed either by the staff of the organisations participating in the project or by appointed external experts. Depending on the size and complexity of the project, all roles can be performed by one person, or each role can be performed individually. </w:t>
      </w:r>
    </w:p>
    <w:p w14:paraId="0B59E309" w14:textId="447FDC61" w:rsidR="00806176" w:rsidRPr="004A334F" w:rsidRDefault="00806176" w:rsidP="003C58C0">
      <w:pPr>
        <w:spacing w:line="360" w:lineRule="auto"/>
      </w:pPr>
      <w:r w:rsidRPr="004A334F">
        <w:t>The project manager role involves the overall management of the project implementation and is concentrated on the delivery of project outputs.</w:t>
      </w:r>
    </w:p>
    <w:p w14:paraId="12678F23" w14:textId="120B2DB1" w:rsidR="00806176" w:rsidRPr="004D427A" w:rsidRDefault="00806176" w:rsidP="003C58C0">
      <w:pPr>
        <w:pStyle w:val="BodyText"/>
        <w:spacing w:line="360" w:lineRule="auto"/>
        <w:rPr>
          <w:rFonts w:ascii="Open Sans SemiBold" w:eastAsia="Open Sans SemiBold" w:hAnsi="Open Sans SemiBold" w:cs="Open Sans SemiBold"/>
          <w:bCs/>
          <w:color w:val="003399"/>
          <w:sz w:val="24"/>
          <w:lang w:eastAsia="en-US"/>
        </w:rPr>
      </w:pPr>
      <w:r w:rsidRPr="004D427A">
        <w:rPr>
          <w:rFonts w:ascii="Open Sans SemiBold" w:eastAsia="Open Sans SemiBold" w:hAnsi="Open Sans SemiBold" w:cs="Open Sans SemiBold"/>
          <w:bCs/>
          <w:color w:val="003399"/>
          <w:sz w:val="24"/>
          <w:lang w:eastAsia="en-US"/>
        </w:rPr>
        <w:t>Responsibilities of the project manager:</w:t>
      </w:r>
    </w:p>
    <w:p w14:paraId="29EAF467" w14:textId="6EF1A508" w:rsidR="00806176" w:rsidRPr="004A334F" w:rsidRDefault="003705FB" w:rsidP="003C58C0">
      <w:pPr>
        <w:pStyle w:val="ListParagraph"/>
        <w:numPr>
          <w:ilvl w:val="0"/>
          <w:numId w:val="50"/>
        </w:numPr>
        <w:spacing w:line="360" w:lineRule="auto"/>
      </w:pPr>
      <w:r>
        <w:t>C</w:t>
      </w:r>
      <w:r w:rsidR="00806176" w:rsidRPr="004A334F">
        <w:t xml:space="preserve">ommunication </w:t>
      </w:r>
      <w:r w:rsidR="00B200AD" w:rsidRPr="004A334F">
        <w:t xml:space="preserve">within the project partnership, </w:t>
      </w:r>
      <w:r w:rsidR="00806176" w:rsidRPr="004A334F">
        <w:t>between the project and the Programme institutions (mainly the J</w:t>
      </w:r>
      <w:r w:rsidR="00AF2B83" w:rsidRPr="004A334F">
        <w:t xml:space="preserve">oint </w:t>
      </w:r>
      <w:r w:rsidR="00806176" w:rsidRPr="004A334F">
        <w:t>S</w:t>
      </w:r>
      <w:r w:rsidR="00AF2B83" w:rsidRPr="004A334F">
        <w:t>ecretariat</w:t>
      </w:r>
      <w:r w:rsidR="00806176" w:rsidRPr="004A334F">
        <w:t>)</w:t>
      </w:r>
      <w:r>
        <w:t>.</w:t>
      </w:r>
    </w:p>
    <w:p w14:paraId="35AEE038" w14:textId="5296DD28" w:rsidR="00806176" w:rsidRPr="004A334F" w:rsidRDefault="003705FB" w:rsidP="003C58C0">
      <w:pPr>
        <w:pStyle w:val="ListParagraph"/>
        <w:numPr>
          <w:ilvl w:val="0"/>
          <w:numId w:val="50"/>
        </w:numPr>
        <w:spacing w:line="360" w:lineRule="auto"/>
      </w:pPr>
      <w:r>
        <w:t>M</w:t>
      </w:r>
      <w:r w:rsidR="00806176" w:rsidRPr="004A334F">
        <w:t xml:space="preserve">onitoring project progress against </w:t>
      </w:r>
      <w:r w:rsidR="0080572D" w:rsidRPr="004A334F">
        <w:t xml:space="preserve">the </w:t>
      </w:r>
      <w:r w:rsidR="00E56C92" w:rsidRPr="004A334F">
        <w:t>project workplan</w:t>
      </w:r>
      <w:r>
        <w:t>.</w:t>
      </w:r>
    </w:p>
    <w:p w14:paraId="308461D0" w14:textId="2830FE3C" w:rsidR="006B235A" w:rsidRPr="004A334F" w:rsidRDefault="003705FB" w:rsidP="003C58C0">
      <w:pPr>
        <w:pStyle w:val="ListParagraph"/>
        <w:numPr>
          <w:ilvl w:val="0"/>
          <w:numId w:val="50"/>
        </w:numPr>
        <w:spacing w:line="360" w:lineRule="auto"/>
      </w:pPr>
      <w:r>
        <w:t>C</w:t>
      </w:r>
      <w:r w:rsidR="006B235A" w:rsidRPr="004A334F">
        <w:t xml:space="preserve">ompiling </w:t>
      </w:r>
      <w:r w:rsidR="004D7959" w:rsidRPr="004A334F">
        <w:t>project progress reports</w:t>
      </w:r>
      <w:r w:rsidR="006B235A" w:rsidRPr="004A334F">
        <w:t xml:space="preserve"> based on inputs provided by the project partners</w:t>
      </w:r>
      <w:r>
        <w:t>.</w:t>
      </w:r>
    </w:p>
    <w:p w14:paraId="1404D88D" w14:textId="2F09E5D0" w:rsidR="004A334F" w:rsidRPr="003705FB" w:rsidRDefault="003705FB" w:rsidP="003C58C0">
      <w:pPr>
        <w:pStyle w:val="ListParagraph"/>
        <w:numPr>
          <w:ilvl w:val="0"/>
          <w:numId w:val="50"/>
        </w:numPr>
        <w:spacing w:line="360" w:lineRule="auto"/>
      </w:pPr>
      <w:r>
        <w:t>M</w:t>
      </w:r>
      <w:r w:rsidR="00806176" w:rsidRPr="004A334F">
        <w:t xml:space="preserve">anaging changes and rescheduling the </w:t>
      </w:r>
      <w:r w:rsidR="00FA4BFB" w:rsidRPr="004A334F">
        <w:t>workplan</w:t>
      </w:r>
      <w:r w:rsidR="00806176" w:rsidRPr="004A334F">
        <w:t xml:space="preserve">, if necessary; managing risks, problems and other issues reported by partners and ensuring good information flows within the partnership. </w:t>
      </w:r>
    </w:p>
    <w:p w14:paraId="6562A08E" w14:textId="2A98D3CC" w:rsidR="003705FB" w:rsidRDefault="0060298F" w:rsidP="003C58C0">
      <w:pPr>
        <w:pStyle w:val="BodyText"/>
        <w:spacing w:line="360" w:lineRule="auto"/>
        <w:rPr>
          <w:rFonts w:eastAsia="Open Sans"/>
        </w:rPr>
      </w:pPr>
      <w:r w:rsidRPr="008D61AB">
        <w:rPr>
          <w:noProof/>
        </w:rPr>
        <mc:AlternateContent>
          <mc:Choice Requires="wps">
            <w:drawing>
              <wp:inline distT="0" distB="0" distL="0" distR="0" wp14:anchorId="44020E14" wp14:editId="1DE2EE5C">
                <wp:extent cx="5772785" cy="714375"/>
                <wp:effectExtent l="0" t="0" r="18415" b="28575"/>
                <wp:docPr id="423352579"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714375"/>
                        </a:xfrm>
                        <a:prstGeom prst="rect">
                          <a:avLst/>
                        </a:prstGeom>
                        <a:ln w="12700">
                          <a:solidFill>
                            <a:srgbClr val="003399"/>
                          </a:solidFill>
                          <a:prstDash val="solid"/>
                        </a:ln>
                      </wps:spPr>
                      <wps:txbx>
                        <w:txbxContent>
                          <w:p w14:paraId="6249218C" w14:textId="77777777" w:rsidR="0060298F" w:rsidRPr="004D427A" w:rsidRDefault="0060298F" w:rsidP="0060298F">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person in this position is recommended to be qualified in the management of EU-funded projects and should have experience working in an international team.</w:t>
                            </w:r>
                          </w:p>
                        </w:txbxContent>
                      </wps:txbx>
                      <wps:bodyPr wrap="square" lIns="0" tIns="0" rIns="0" bIns="0" rtlCol="0">
                        <a:noAutofit/>
                      </wps:bodyPr>
                    </wps:wsp>
                  </a:graphicData>
                </a:graphic>
              </wp:inline>
            </w:drawing>
          </mc:Choice>
          <mc:Fallback>
            <w:pict>
              <v:shape w14:anchorId="44020E14" id="_x0000_s1047" type="#_x0000_t202" style="width:454.5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" filled="f" strokecolor="#039" strokeweight="1pt">
                <v:path arrowok="t"/>
                <v:textbox inset="0,0,0,0">
                  <w:txbxContent>
                    <w:p w14:paraId="6249218C" w14:textId="77777777" w:rsidR="0060298F" w:rsidRPr="004D427A" w:rsidRDefault="0060298F" w:rsidP="0060298F">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person in this position is recommended to be qualified in the management of EU-funded projects and should have experience working in an international team.</w:t>
                      </w:r>
                    </w:p>
                  </w:txbxContent>
                </v:textbox>
                <w10:anchorlock/>
              </v:shape>
            </w:pict>
          </mc:Fallback>
        </mc:AlternateContent>
      </w:r>
    </w:p>
    <w:p w14:paraId="3A02049F" w14:textId="3ADD7CBE" w:rsidR="0056618A" w:rsidRPr="004D427A" w:rsidRDefault="00806176" w:rsidP="003C58C0">
      <w:pPr>
        <w:pStyle w:val="BodyText"/>
        <w:spacing w:line="360" w:lineRule="auto"/>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 xml:space="preserve">The </w:t>
      </w:r>
      <w:r w:rsidRPr="004D427A">
        <w:rPr>
          <w:rFonts w:ascii="Open Sans SemiBold" w:eastAsia="Open Sans SemiBold" w:hAnsi="Open Sans SemiBold" w:cs="Open Sans SemiBold"/>
          <w:bCs/>
          <w:color w:val="003399"/>
          <w:sz w:val="24"/>
          <w:lang w:eastAsia="en-US"/>
        </w:rPr>
        <w:t>finance manager</w:t>
      </w:r>
      <w:r w:rsidRPr="004D427A">
        <w:rPr>
          <w:rFonts w:ascii="Open Sans" w:eastAsiaTheme="minorHAnsi" w:hAnsi="Open Sans" w:cstheme="minorBidi"/>
          <w:color w:val="auto"/>
          <w:sz w:val="24"/>
          <w:szCs w:val="22"/>
          <w:lang w:eastAsia="en-US"/>
        </w:rPr>
        <w:t xml:space="preserve"> role concentrates on budgetary and financial issues related to the implementation of the project. The person in this role ensure</w:t>
      </w:r>
      <w:r w:rsidR="00784D7A" w:rsidRPr="004D427A">
        <w:rPr>
          <w:rFonts w:ascii="Open Sans" w:eastAsiaTheme="minorHAnsi" w:hAnsi="Open Sans" w:cstheme="minorBidi"/>
          <w:color w:val="auto"/>
          <w:sz w:val="24"/>
          <w:szCs w:val="22"/>
          <w:lang w:eastAsia="en-US"/>
        </w:rPr>
        <w:t>s</w:t>
      </w:r>
      <w:r w:rsidRPr="004D427A">
        <w:rPr>
          <w:rFonts w:ascii="Open Sans" w:eastAsiaTheme="minorHAnsi" w:hAnsi="Open Sans" w:cstheme="minorBidi"/>
          <w:color w:val="auto"/>
          <w:sz w:val="24"/>
          <w:szCs w:val="22"/>
          <w:lang w:eastAsia="en-US"/>
        </w:rPr>
        <w:t xml:space="preserve"> that these aspects of the project are in line with the Programme and national rules. </w:t>
      </w:r>
    </w:p>
    <w:p w14:paraId="1A6CEC78" w14:textId="77777777" w:rsidR="00806176" w:rsidRPr="004D427A" w:rsidRDefault="00806176" w:rsidP="003C58C0">
      <w:pPr>
        <w:pStyle w:val="BodyText"/>
        <w:spacing w:line="360" w:lineRule="auto"/>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Responsibilities of the finance manager:</w:t>
      </w:r>
    </w:p>
    <w:p w14:paraId="5FB8837F" w14:textId="1B38ACA0" w:rsidR="00806176" w:rsidRPr="004A334F" w:rsidRDefault="003705FB" w:rsidP="003C58C0">
      <w:pPr>
        <w:pStyle w:val="ListParagraph"/>
        <w:numPr>
          <w:ilvl w:val="0"/>
          <w:numId w:val="50"/>
        </w:numPr>
        <w:spacing w:line="360" w:lineRule="auto"/>
      </w:pPr>
      <w:r>
        <w:lastRenderedPageBreak/>
        <w:t>C</w:t>
      </w:r>
      <w:r w:rsidR="00806176" w:rsidRPr="004A334F">
        <w:t>ooperation with the project manager in the financial aspects of project implementation</w:t>
      </w:r>
      <w:r w:rsidR="0007701B" w:rsidRPr="004A334F">
        <w:t xml:space="preserve"> and ensuring that the budget is spent in line with the spending plan of the project</w:t>
      </w:r>
      <w:r>
        <w:t>.</w:t>
      </w:r>
    </w:p>
    <w:p w14:paraId="4499790D" w14:textId="76EFC477" w:rsidR="00806176" w:rsidRPr="004A334F" w:rsidRDefault="003705FB" w:rsidP="003C58C0">
      <w:pPr>
        <w:pStyle w:val="ListParagraph"/>
        <w:numPr>
          <w:ilvl w:val="0"/>
          <w:numId w:val="50"/>
        </w:numPr>
        <w:spacing w:line="360" w:lineRule="auto"/>
      </w:pPr>
      <w:r>
        <w:t>A</w:t>
      </w:r>
      <w:r w:rsidR="00806176" w:rsidRPr="004A334F">
        <w:t xml:space="preserve">dvising partners in terms of cost eligibility on </w:t>
      </w:r>
      <w:r w:rsidR="0080572D" w:rsidRPr="004A334F">
        <w:t>Programme-</w:t>
      </w:r>
      <w:r w:rsidR="00806176" w:rsidRPr="004A334F">
        <w:t xml:space="preserve">level monitoring if the project </w:t>
      </w:r>
      <w:r w:rsidR="0080572D" w:rsidRPr="004A334F">
        <w:t xml:space="preserve">is spending </w:t>
      </w:r>
      <w:r w:rsidR="00806176" w:rsidRPr="004A334F">
        <w:t>in line with the declared activities, the spending plan, budget, and flexibility limits</w:t>
      </w:r>
      <w:r>
        <w:t>.</w:t>
      </w:r>
    </w:p>
    <w:p w14:paraId="4EC5C05D" w14:textId="26DBC76D" w:rsidR="00806176" w:rsidRPr="004A334F" w:rsidRDefault="003705FB" w:rsidP="003C58C0">
      <w:pPr>
        <w:pStyle w:val="ListParagraph"/>
        <w:numPr>
          <w:ilvl w:val="0"/>
          <w:numId w:val="50"/>
        </w:numPr>
        <w:spacing w:line="360" w:lineRule="auto"/>
      </w:pPr>
      <w:r>
        <w:t>C</w:t>
      </w:r>
      <w:r w:rsidR="00806176" w:rsidRPr="004A334F">
        <w:t>ompiling the financial part of the progress reports</w:t>
      </w:r>
      <w:r>
        <w:t>.</w:t>
      </w:r>
    </w:p>
    <w:p w14:paraId="1371850E" w14:textId="0499A9FB" w:rsidR="00806176" w:rsidRPr="004A334F" w:rsidRDefault="003705FB" w:rsidP="003C58C0">
      <w:pPr>
        <w:pStyle w:val="ListParagraph"/>
        <w:numPr>
          <w:ilvl w:val="0"/>
          <w:numId w:val="50"/>
        </w:numPr>
        <w:spacing w:line="360" w:lineRule="auto"/>
      </w:pPr>
      <w:r>
        <w:t>M</w:t>
      </w:r>
      <w:r w:rsidR="00806176" w:rsidRPr="004A334F">
        <w:t>anaging the budgetary changes and any other financial issues in the project</w:t>
      </w:r>
      <w:r>
        <w:t>.</w:t>
      </w:r>
    </w:p>
    <w:p w14:paraId="7B51EF01" w14:textId="4635817C" w:rsidR="004A334F" w:rsidRPr="003A0412" w:rsidRDefault="003705FB" w:rsidP="003C58C0">
      <w:pPr>
        <w:pStyle w:val="ListParagraph"/>
        <w:numPr>
          <w:ilvl w:val="0"/>
          <w:numId w:val="50"/>
        </w:numPr>
        <w:spacing w:line="360" w:lineRule="auto"/>
      </w:pPr>
      <w:r>
        <w:t>C</w:t>
      </w:r>
      <w:r w:rsidR="00806176" w:rsidRPr="004A334F">
        <w:t xml:space="preserve">ooperating with </w:t>
      </w:r>
      <w:r w:rsidR="0080572D" w:rsidRPr="004A334F">
        <w:t xml:space="preserve">the </w:t>
      </w:r>
      <w:r w:rsidR="00806176" w:rsidRPr="004A334F">
        <w:t>First and Second Level controllers.</w:t>
      </w:r>
      <w:r w:rsidR="00806176" w:rsidRPr="006A0A05">
        <w:t xml:space="preserve"> </w:t>
      </w:r>
    </w:p>
    <w:p w14:paraId="35D1F15E" w14:textId="44767EDB" w:rsidR="0060298F" w:rsidRDefault="0060298F" w:rsidP="003C58C0">
      <w:pPr>
        <w:pStyle w:val="BodyText"/>
        <w:spacing w:line="360" w:lineRule="auto"/>
        <w:rPr>
          <w:rFonts w:ascii="Open Sans" w:eastAsiaTheme="minorHAnsi" w:hAnsi="Open Sans" w:cstheme="minorBidi"/>
          <w:color w:val="auto"/>
          <w:sz w:val="24"/>
          <w:szCs w:val="22"/>
          <w:lang w:eastAsia="en-US"/>
        </w:rPr>
      </w:pPr>
      <w:r w:rsidRPr="006A0A05">
        <w:rPr>
          <w:noProof/>
        </w:rPr>
        <mc:AlternateContent>
          <mc:Choice Requires="wps">
            <w:drawing>
              <wp:inline distT="0" distB="0" distL="0" distR="0" wp14:anchorId="10ED61F7" wp14:editId="0DC56B9A">
                <wp:extent cx="5786755" cy="925126"/>
                <wp:effectExtent l="0" t="0" r="23495" b="27940"/>
                <wp:docPr id="478397331"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6755" cy="925126"/>
                        </a:xfrm>
                        <a:prstGeom prst="rect">
                          <a:avLst/>
                        </a:prstGeom>
                        <a:ln w="12700">
                          <a:solidFill>
                            <a:srgbClr val="003399"/>
                          </a:solidFill>
                          <a:prstDash val="solid"/>
                        </a:ln>
                      </wps:spPr>
                      <wps:txbx>
                        <w:txbxContent>
                          <w:p w14:paraId="572F1647" w14:textId="77777777" w:rsidR="0060298F" w:rsidRPr="004D427A" w:rsidRDefault="0060298F" w:rsidP="0060298F">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person in this position should be familiar with accounting rules, EU, and national legislation for the management of the ERDF, public procurement and financial control, and possess very good knowledge of English (both spoken and written).</w:t>
                            </w:r>
                          </w:p>
                        </w:txbxContent>
                      </wps:txbx>
                      <wps:bodyPr wrap="square" lIns="0" tIns="0" rIns="0" bIns="0" rtlCol="0">
                        <a:noAutofit/>
                      </wps:bodyPr>
                    </wps:wsp>
                  </a:graphicData>
                </a:graphic>
              </wp:inline>
            </w:drawing>
          </mc:Choice>
          <mc:Fallback>
            <w:pict>
              <v:shape w14:anchorId="10ED61F7" id="_x0000_s1048" type="#_x0000_t202" style="width:455.65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" filled="f" strokecolor="#039" strokeweight="1pt">
                <v:path arrowok="t"/>
                <v:textbox inset="0,0,0,0">
                  <w:txbxContent>
                    <w:p w14:paraId="572F1647" w14:textId="77777777" w:rsidR="0060298F" w:rsidRPr="004D427A" w:rsidRDefault="0060298F" w:rsidP="0060298F">
                      <w:pPr>
                        <w:pStyle w:val="BodyText"/>
                        <w:rPr>
                          <w:rFonts w:ascii="Open Sans" w:eastAsiaTheme="minorHAnsi" w:hAnsi="Open Sans" w:cstheme="minorBidi"/>
                          <w:color w:val="auto"/>
                          <w:sz w:val="24"/>
                          <w:szCs w:val="22"/>
                          <w:lang w:eastAsia="en-US"/>
                        </w:rPr>
                      </w:pPr>
                      <w:r w:rsidRPr="004D427A">
                        <w:rPr>
                          <w:rFonts w:ascii="Open Sans" w:eastAsiaTheme="minorHAnsi" w:hAnsi="Open Sans" w:cstheme="minorBidi"/>
                          <w:color w:val="auto"/>
                          <w:sz w:val="24"/>
                          <w:szCs w:val="22"/>
                          <w:lang w:eastAsia="en-US"/>
                        </w:rPr>
                        <w:t>The person in this position should be familiar with accounting rules, EU, and national legislation for the management of the ERDF, public procurement and financial control, and possess very good knowledge of English (both spoken and written).</w:t>
                      </w:r>
                    </w:p>
                  </w:txbxContent>
                </v:textbox>
                <w10:anchorlock/>
              </v:shape>
            </w:pict>
          </mc:Fallback>
        </mc:AlternateContent>
      </w:r>
    </w:p>
    <w:p w14:paraId="1E11B8E4" w14:textId="3C1968B0" w:rsidR="00806176" w:rsidRPr="001E4FF4" w:rsidRDefault="00806176" w:rsidP="003C58C0">
      <w:pPr>
        <w:pStyle w:val="BodyText"/>
        <w:spacing w:line="360" w:lineRule="auto"/>
        <w:rPr>
          <w:rFonts w:ascii="Open Sans SemiBold" w:eastAsia="Open Sans SemiBold" w:hAnsi="Open Sans SemiBold" w:cs="Open Sans SemiBold"/>
          <w:bCs/>
          <w:color w:val="003399"/>
          <w:sz w:val="24"/>
          <w:lang w:eastAsia="en-US"/>
        </w:rPr>
      </w:pPr>
      <w:r w:rsidRPr="001E4FF4">
        <w:rPr>
          <w:rFonts w:ascii="Open Sans" w:eastAsiaTheme="minorHAnsi" w:hAnsi="Open Sans" w:cstheme="minorBidi"/>
          <w:color w:val="auto"/>
          <w:sz w:val="24"/>
          <w:szCs w:val="22"/>
          <w:lang w:eastAsia="en-US"/>
        </w:rPr>
        <w:t>To comply with the EU requirements on information and promotion</w:t>
      </w:r>
      <w:r w:rsidR="0080572D" w:rsidRPr="001E4FF4">
        <w:rPr>
          <w:rFonts w:ascii="Open Sans" w:eastAsiaTheme="minorHAnsi" w:hAnsi="Open Sans" w:cstheme="minorBidi"/>
          <w:color w:val="auto"/>
          <w:sz w:val="24"/>
          <w:szCs w:val="22"/>
          <w:lang w:eastAsia="en-US"/>
        </w:rPr>
        <w:t>,</w:t>
      </w:r>
      <w:r w:rsidRPr="001E4FF4">
        <w:rPr>
          <w:rFonts w:ascii="Open Sans" w:eastAsiaTheme="minorHAnsi" w:hAnsi="Open Sans" w:cstheme="minorBidi"/>
          <w:color w:val="auto"/>
          <w:sz w:val="24"/>
          <w:szCs w:val="22"/>
          <w:lang w:eastAsia="en-US"/>
        </w:rPr>
        <w:t xml:space="preserve"> the project should also appoint an </w:t>
      </w:r>
      <w:r w:rsidR="001E4FF4">
        <w:rPr>
          <w:rFonts w:ascii="Open Sans SemiBold" w:eastAsia="Open Sans SemiBold" w:hAnsi="Open Sans SemiBold" w:cs="Open Sans SemiBold"/>
          <w:bCs/>
          <w:color w:val="003399"/>
          <w:sz w:val="24"/>
          <w:lang w:eastAsia="en-US"/>
        </w:rPr>
        <w:t>in</w:t>
      </w:r>
      <w:r w:rsidRPr="001E4FF4">
        <w:rPr>
          <w:rFonts w:ascii="Open Sans SemiBold" w:eastAsia="Open Sans SemiBold" w:hAnsi="Open Sans SemiBold" w:cs="Open Sans SemiBold"/>
          <w:bCs/>
          <w:color w:val="003399"/>
          <w:sz w:val="24"/>
          <w:lang w:eastAsia="en-US"/>
        </w:rPr>
        <w:t>formation manager</w:t>
      </w:r>
      <w:r w:rsidR="0080572D" w:rsidRPr="001E4FF4">
        <w:rPr>
          <w:rFonts w:ascii="Open Sans SemiBold" w:eastAsia="Open Sans SemiBold" w:hAnsi="Open Sans SemiBold" w:cs="Open Sans SemiBold"/>
          <w:bCs/>
          <w:color w:val="003399"/>
          <w:sz w:val="24"/>
          <w:lang w:eastAsia="en-US"/>
        </w:rPr>
        <w:t>.</w:t>
      </w:r>
    </w:p>
    <w:p w14:paraId="28EECCB6" w14:textId="77777777" w:rsidR="00806176" w:rsidRPr="001E4FF4" w:rsidRDefault="00806176" w:rsidP="003C58C0">
      <w:pPr>
        <w:pStyle w:val="BodyText"/>
        <w:spacing w:line="360" w:lineRule="auto"/>
        <w:rPr>
          <w:rFonts w:ascii="Open Sans SemiBold" w:eastAsia="Open Sans SemiBold" w:hAnsi="Open Sans SemiBold" w:cs="Open Sans SemiBold"/>
          <w:bCs/>
          <w:color w:val="003399"/>
          <w:sz w:val="24"/>
          <w:lang w:eastAsia="en-US"/>
        </w:rPr>
      </w:pPr>
      <w:r w:rsidRPr="001E4FF4">
        <w:rPr>
          <w:rFonts w:ascii="Open Sans SemiBold" w:eastAsia="Open Sans SemiBold" w:hAnsi="Open Sans SemiBold" w:cs="Open Sans SemiBold"/>
          <w:bCs/>
          <w:color w:val="003399"/>
          <w:sz w:val="24"/>
          <w:lang w:eastAsia="en-US"/>
        </w:rPr>
        <w:t>Responsibilities of the information manager:</w:t>
      </w:r>
    </w:p>
    <w:p w14:paraId="73CCF52B" w14:textId="753211D3" w:rsidR="00216D16" w:rsidRPr="00205D6E" w:rsidRDefault="003705FB" w:rsidP="003C58C0">
      <w:pPr>
        <w:pStyle w:val="ListParagraph"/>
        <w:numPr>
          <w:ilvl w:val="0"/>
          <w:numId w:val="50"/>
        </w:numPr>
        <w:spacing w:line="360" w:lineRule="auto"/>
      </w:pPr>
      <w:r>
        <w:t>C</w:t>
      </w:r>
      <w:r w:rsidR="00216D16" w:rsidRPr="00205D6E">
        <w:t xml:space="preserve">ooperation with the project manager </w:t>
      </w:r>
      <w:r w:rsidR="0080572D" w:rsidRPr="00205D6E">
        <w:t>regarding</w:t>
      </w:r>
      <w:r w:rsidR="00216D16" w:rsidRPr="00205D6E">
        <w:t xml:space="preserve"> information and communication in the project implementation</w:t>
      </w:r>
      <w:r>
        <w:t>.</w:t>
      </w:r>
    </w:p>
    <w:p w14:paraId="6C301956" w14:textId="60D1A917" w:rsidR="00806176" w:rsidRPr="00205D6E" w:rsidRDefault="003705FB" w:rsidP="003C58C0">
      <w:pPr>
        <w:pStyle w:val="ListParagraph"/>
        <w:numPr>
          <w:ilvl w:val="0"/>
          <w:numId w:val="50"/>
        </w:numPr>
        <w:spacing w:line="360" w:lineRule="auto"/>
      </w:pPr>
      <w:r w:rsidRPr="00205D6E">
        <w:t>C</w:t>
      </w:r>
      <w:r w:rsidR="00806176" w:rsidRPr="00205D6E">
        <w:t>oordination of the planning and implementation of the project’s communication activities, particularly th</w:t>
      </w:r>
      <w:r w:rsidR="0080572D" w:rsidRPr="00205D6E">
        <w:t>ose</w:t>
      </w:r>
      <w:r w:rsidR="00806176" w:rsidRPr="00205D6E">
        <w:t xml:space="preserve"> related to communication with target groups, end users and other external stakeholders of the project</w:t>
      </w:r>
      <w:r>
        <w:t>.</w:t>
      </w:r>
    </w:p>
    <w:p w14:paraId="0C48F36E" w14:textId="4576059D" w:rsidR="00806176" w:rsidRPr="00205D6E" w:rsidRDefault="003705FB" w:rsidP="003C58C0">
      <w:pPr>
        <w:pStyle w:val="ListParagraph"/>
        <w:numPr>
          <w:ilvl w:val="0"/>
          <w:numId w:val="50"/>
        </w:numPr>
        <w:spacing w:line="360" w:lineRule="auto"/>
      </w:pPr>
      <w:r>
        <w:t>L</w:t>
      </w:r>
      <w:r w:rsidR="00806176" w:rsidRPr="00205D6E">
        <w:t xml:space="preserve">iaising with pan-Baltic or Europe-wide organisations relevant to the project theme and with the </w:t>
      </w:r>
      <w:r w:rsidR="002C7170" w:rsidRPr="00205D6E">
        <w:t>Joint Secretariat</w:t>
      </w:r>
      <w:r w:rsidR="00806176" w:rsidRPr="00205D6E">
        <w:t xml:space="preserve"> in the area of project promotion</w:t>
      </w:r>
      <w:r>
        <w:t>.</w:t>
      </w:r>
    </w:p>
    <w:p w14:paraId="2F68F233" w14:textId="5C889BD9" w:rsidR="00322359" w:rsidRPr="00205D6E" w:rsidRDefault="003705FB" w:rsidP="003C58C0">
      <w:pPr>
        <w:pStyle w:val="ListParagraph"/>
        <w:numPr>
          <w:ilvl w:val="0"/>
          <w:numId w:val="50"/>
        </w:numPr>
        <w:spacing w:line="360" w:lineRule="auto"/>
      </w:pPr>
      <w:r>
        <w:t>M</w:t>
      </w:r>
      <w:r w:rsidR="00806176" w:rsidRPr="00205D6E">
        <w:t xml:space="preserve">onitoring if the project’s written communication is branded in accordance with EU and Programme requirements. </w:t>
      </w:r>
    </w:p>
    <w:p w14:paraId="6268DD5E" w14:textId="1C9F033D" w:rsidR="004A334F" w:rsidRPr="004A334F" w:rsidRDefault="001E4FF4" w:rsidP="003C58C0">
      <w:pPr>
        <w:pStyle w:val="BodyText"/>
        <w:spacing w:line="360" w:lineRule="auto"/>
        <w:rPr>
          <w:rFonts w:eastAsia="Open Sans"/>
        </w:rPr>
      </w:pPr>
      <w:r w:rsidRPr="00205D6E">
        <w:rPr>
          <w:rFonts w:eastAsia="Open Sans"/>
          <w:noProof/>
        </w:rPr>
        <w:lastRenderedPageBreak/>
        <mc:AlternateContent>
          <mc:Choice Requires="wps">
            <w:drawing>
              <wp:inline distT="0" distB="0" distL="0" distR="0" wp14:anchorId="1B4C0AE3" wp14:editId="1A4CFD82">
                <wp:extent cx="5786755" cy="358722"/>
                <wp:effectExtent l="0" t="0" r="23495" b="22860"/>
                <wp:docPr id="174440142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6755" cy="358722"/>
                        </a:xfrm>
                        <a:prstGeom prst="rect">
                          <a:avLst/>
                        </a:prstGeom>
                        <a:ln w="12700">
                          <a:solidFill>
                            <a:srgbClr val="003399"/>
                          </a:solidFill>
                          <a:prstDash val="solid"/>
                        </a:ln>
                      </wps:spPr>
                      <wps:txbx>
                        <w:txbxContent>
                          <w:p w14:paraId="11023459"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The person in this position should have strong communication skills.</w:t>
                            </w:r>
                          </w:p>
                        </w:txbxContent>
                      </wps:txbx>
                      <wps:bodyPr wrap="square" lIns="0" tIns="0" rIns="0" bIns="0" rtlCol="0">
                        <a:noAutofit/>
                      </wps:bodyPr>
                    </wps:wsp>
                  </a:graphicData>
                </a:graphic>
              </wp:inline>
            </w:drawing>
          </mc:Choice>
          <mc:Fallback>
            <w:pict>
              <v:shape w14:anchorId="1B4C0AE3" id="_x0000_s1049" type="#_x0000_t202" style="width:455.65pt;height:2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" filled="f" strokecolor="#039" strokeweight="1pt">
                <v:path arrowok="t"/>
                <v:textbox inset="0,0,0,0">
                  <w:txbxContent>
                    <w:p w14:paraId="11023459"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The person in this position should have strong communication skills.</w:t>
                      </w:r>
                    </w:p>
                  </w:txbxContent>
                </v:textbox>
                <w10:anchorlock/>
              </v:shape>
            </w:pict>
          </mc:Fallback>
        </mc:AlternateContent>
      </w:r>
    </w:p>
    <w:p w14:paraId="174F3576" w14:textId="1D77690B" w:rsidR="00322359" w:rsidRPr="004A334F" w:rsidRDefault="00322359" w:rsidP="003C58C0">
      <w:pPr>
        <w:spacing w:line="360" w:lineRule="auto"/>
      </w:pPr>
      <w:r w:rsidRPr="004A334F">
        <w:t xml:space="preserve">Since English language is the official and working language of the South Baltic Programme, it is necessary that the above-mentioned </w:t>
      </w:r>
      <w:r w:rsidR="0080572D" w:rsidRPr="004A334F">
        <w:t>post-</w:t>
      </w:r>
      <w:r w:rsidRPr="004A334F">
        <w:t>holders are fluent in English.</w:t>
      </w:r>
    </w:p>
    <w:p w14:paraId="41304F05" w14:textId="157A01C7" w:rsidR="00C80C36" w:rsidRPr="00C223C5" w:rsidRDefault="00445A03" w:rsidP="003C58C0">
      <w:pPr>
        <w:pStyle w:val="Heading3"/>
        <w:spacing w:line="360" w:lineRule="auto"/>
      </w:pPr>
      <w:bookmarkStart w:id="66" w:name="_Toc147242401"/>
      <w:r w:rsidRPr="00C223C5">
        <w:t>5</w:t>
      </w:r>
      <w:r w:rsidR="00C80C36" w:rsidRPr="00C223C5">
        <w:t>.3 Coordination and decision-making system</w:t>
      </w:r>
      <w:bookmarkEnd w:id="66"/>
    </w:p>
    <w:p w14:paraId="5D9BA107" w14:textId="37A8A1E4" w:rsidR="00806176" w:rsidRPr="001E4FF4" w:rsidRDefault="00BF5DE6" w:rsidP="003C58C0">
      <w:pPr>
        <w:pStyle w:val="BodyText"/>
        <w:spacing w:line="360" w:lineRule="auto"/>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 xml:space="preserve">The coordination </w:t>
      </w:r>
      <w:r w:rsidR="00806176" w:rsidRPr="001E4FF4">
        <w:rPr>
          <w:rFonts w:ascii="Open Sans" w:eastAsiaTheme="minorHAnsi" w:hAnsi="Open Sans" w:cstheme="minorBidi"/>
          <w:color w:val="auto"/>
          <w:sz w:val="24"/>
          <w:szCs w:val="22"/>
          <w:lang w:eastAsia="en-US"/>
        </w:rPr>
        <w:t xml:space="preserve">and decision-making system should consider </w:t>
      </w:r>
      <w:r w:rsidRPr="001E4FF4">
        <w:rPr>
          <w:rFonts w:ascii="Open Sans" w:eastAsiaTheme="minorHAnsi" w:hAnsi="Open Sans" w:cstheme="minorBidi"/>
          <w:color w:val="auto"/>
          <w:sz w:val="24"/>
          <w:szCs w:val="22"/>
          <w:lang w:eastAsia="en-US"/>
        </w:rPr>
        <w:t>solution-</w:t>
      </w:r>
      <w:r w:rsidR="00806176" w:rsidRPr="001E4FF4">
        <w:rPr>
          <w:rFonts w:ascii="Open Sans" w:eastAsiaTheme="minorHAnsi" w:hAnsi="Open Sans" w:cstheme="minorBidi"/>
          <w:color w:val="auto"/>
          <w:sz w:val="24"/>
          <w:szCs w:val="22"/>
          <w:lang w:eastAsia="en-US"/>
        </w:rPr>
        <w:t xml:space="preserve">taking processes, resolving disputes among partners, </w:t>
      </w:r>
      <w:r w:rsidRPr="001E4FF4">
        <w:rPr>
          <w:rFonts w:ascii="Open Sans" w:eastAsiaTheme="minorHAnsi" w:hAnsi="Open Sans" w:cstheme="minorBidi"/>
          <w:color w:val="auto"/>
          <w:sz w:val="24"/>
          <w:szCs w:val="22"/>
          <w:lang w:eastAsia="en-US"/>
        </w:rPr>
        <w:t xml:space="preserve">and </w:t>
      </w:r>
      <w:r w:rsidR="00806176" w:rsidRPr="001E4FF4">
        <w:rPr>
          <w:rFonts w:ascii="Open Sans" w:eastAsiaTheme="minorHAnsi" w:hAnsi="Open Sans" w:cstheme="minorBidi"/>
          <w:color w:val="auto"/>
          <w:sz w:val="24"/>
          <w:szCs w:val="22"/>
          <w:lang w:eastAsia="en-US"/>
        </w:rPr>
        <w:t xml:space="preserve">reporting problems and issues. To support the coordination, the projects often use tools such as: </w:t>
      </w:r>
    </w:p>
    <w:p w14:paraId="367D7AE9" w14:textId="508CE88F" w:rsidR="00806176" w:rsidRPr="004A334F" w:rsidRDefault="003705FB" w:rsidP="003C58C0">
      <w:pPr>
        <w:pStyle w:val="ListParagraph"/>
        <w:numPr>
          <w:ilvl w:val="0"/>
          <w:numId w:val="50"/>
        </w:numPr>
        <w:spacing w:line="360" w:lineRule="auto"/>
      </w:pPr>
      <w:r>
        <w:t>F</w:t>
      </w:r>
      <w:r w:rsidR="00806176" w:rsidRPr="004A334F">
        <w:t xml:space="preserve">ormation of Steering Committees, </w:t>
      </w:r>
      <w:r w:rsidR="009A763E" w:rsidRPr="004A334F">
        <w:t>w</w:t>
      </w:r>
      <w:r w:rsidR="00806176" w:rsidRPr="004A334F">
        <w:t xml:space="preserve">orking groups, </w:t>
      </w:r>
      <w:r w:rsidR="009A763E" w:rsidRPr="004A334F">
        <w:t>w</w:t>
      </w:r>
      <w:r w:rsidR="00806176" w:rsidRPr="004A334F">
        <w:t>ork package groups, etc.</w:t>
      </w:r>
    </w:p>
    <w:p w14:paraId="06E10FAB" w14:textId="6EADC08A" w:rsidR="00806176" w:rsidRPr="004A334F" w:rsidRDefault="003705FB" w:rsidP="003C58C0">
      <w:pPr>
        <w:pStyle w:val="ListParagraph"/>
        <w:numPr>
          <w:ilvl w:val="0"/>
          <w:numId w:val="50"/>
        </w:numPr>
        <w:spacing w:line="360" w:lineRule="auto"/>
      </w:pPr>
      <w:r>
        <w:t>S</w:t>
      </w:r>
      <w:r w:rsidR="00806176" w:rsidRPr="004A334F">
        <w:t xml:space="preserve">elf-developed guidelines and procedures for project partners (on processes of internal reporting and communication; on administrative and financial issues; on the </w:t>
      </w:r>
      <w:r w:rsidR="00BF5DE6" w:rsidRPr="004A334F">
        <w:t>Programme-</w:t>
      </w:r>
      <w:r w:rsidR="00806176" w:rsidRPr="004A334F">
        <w:t>specific rules; on monitoring of risk factors in the project)</w:t>
      </w:r>
      <w:r>
        <w:t>.</w:t>
      </w:r>
    </w:p>
    <w:p w14:paraId="0322D07E" w14:textId="607E6BC8" w:rsidR="00806176" w:rsidRPr="004A334F" w:rsidRDefault="003705FB" w:rsidP="003C58C0">
      <w:pPr>
        <w:pStyle w:val="ListParagraph"/>
        <w:numPr>
          <w:ilvl w:val="0"/>
          <w:numId w:val="50"/>
        </w:numPr>
        <w:spacing w:line="360" w:lineRule="auto"/>
      </w:pPr>
      <w:r>
        <w:t>M</w:t>
      </w:r>
      <w:r w:rsidR="00806176" w:rsidRPr="004A334F">
        <w:t>id-project self-evaluation exercise</w:t>
      </w:r>
      <w:r>
        <w:t>.</w:t>
      </w:r>
    </w:p>
    <w:p w14:paraId="69A51C2E" w14:textId="72CAC828" w:rsidR="00806176" w:rsidRPr="004A334F" w:rsidRDefault="00806176" w:rsidP="003C58C0">
      <w:pPr>
        <w:pStyle w:val="ListParagraph"/>
        <w:numPr>
          <w:ilvl w:val="0"/>
          <w:numId w:val="50"/>
        </w:numPr>
        <w:spacing w:line="360" w:lineRule="auto"/>
      </w:pPr>
      <w:r w:rsidRPr="004A334F">
        <w:t>IT tools facilitating project implementation, such as an intranet part of the website including all necessary information/documents and</w:t>
      </w:r>
      <w:r w:rsidR="00BF5DE6" w:rsidRPr="004A334F">
        <w:t>,</w:t>
      </w:r>
      <w:r w:rsidRPr="004A334F">
        <w:t xml:space="preserve"> for example</w:t>
      </w:r>
      <w:r w:rsidR="00BF5DE6" w:rsidRPr="004A334F">
        <w:t>,</w:t>
      </w:r>
      <w:r w:rsidRPr="004A334F">
        <w:t xml:space="preserve"> a forum for project partners, instant messaging, and online communication tools</w:t>
      </w:r>
      <w:r w:rsidR="003705FB">
        <w:t>.</w:t>
      </w:r>
    </w:p>
    <w:p w14:paraId="49751676" w14:textId="5263C7CB" w:rsidR="00061A31" w:rsidRPr="004F78BE" w:rsidRDefault="003705FB" w:rsidP="003C58C0">
      <w:pPr>
        <w:pStyle w:val="ListParagraph"/>
        <w:numPr>
          <w:ilvl w:val="0"/>
          <w:numId w:val="50"/>
        </w:numPr>
        <w:spacing w:line="360" w:lineRule="auto"/>
      </w:pPr>
      <w:r>
        <w:t>P</w:t>
      </w:r>
      <w:r w:rsidR="00806176" w:rsidRPr="004A334F">
        <w:t>roject implementation software.</w:t>
      </w:r>
    </w:p>
    <w:p w14:paraId="7ED1C356" w14:textId="503FA8E9" w:rsidR="002F497F" w:rsidRPr="00794670" w:rsidRDefault="00445A03" w:rsidP="003C58C0">
      <w:pPr>
        <w:pStyle w:val="Heading2"/>
        <w:spacing w:line="360" w:lineRule="auto"/>
      </w:pPr>
      <w:bookmarkStart w:id="67" w:name="_Toc147242402"/>
      <w:r w:rsidRPr="00794670">
        <w:t>6</w:t>
      </w:r>
      <w:r w:rsidR="008D77D8" w:rsidRPr="00794670">
        <w:t xml:space="preserve"> </w:t>
      </w:r>
      <w:bookmarkStart w:id="68" w:name="_Hlk98246451"/>
      <w:r w:rsidR="008D77D8" w:rsidRPr="00794670">
        <w:t>PROJECT ACTIVITIES AND WORK PACKAGES</w:t>
      </w:r>
      <w:bookmarkEnd w:id="67"/>
      <w:bookmarkEnd w:id="68"/>
      <w:r w:rsidR="008D77D8" w:rsidRPr="00794670">
        <w:t xml:space="preserve"> </w:t>
      </w:r>
    </w:p>
    <w:p w14:paraId="11CB618C" w14:textId="51D98C3E" w:rsidR="002F497F" w:rsidRPr="00794670" w:rsidRDefault="002F497F" w:rsidP="003C58C0">
      <w:pPr>
        <w:spacing w:line="360" w:lineRule="auto"/>
      </w:pPr>
      <w:r w:rsidRPr="00794670">
        <w:t xml:space="preserve">The term </w:t>
      </w:r>
      <w:r w:rsidR="00F02972" w:rsidRPr="00794670">
        <w:t>‘</w:t>
      </w:r>
      <w:r w:rsidRPr="00794670">
        <w:t>activity</w:t>
      </w:r>
      <w:r w:rsidR="00F02972" w:rsidRPr="00794670">
        <w:t>’</w:t>
      </w:r>
      <w:r w:rsidRPr="00794670">
        <w:t xml:space="preserve"> in relation to the South Baltic Programme project is understood as a group of tasks and actions that lead to the achievement of the deliverables, project outputs and project objective</w:t>
      </w:r>
      <w:r w:rsidR="00702E01" w:rsidRPr="00794670">
        <w:t>s,</w:t>
      </w:r>
      <w:r w:rsidRPr="00794670">
        <w:t xml:space="preserve"> and are necessary for the proper implementation of the project. It is necessary to list and describe the project </w:t>
      </w:r>
      <w:r w:rsidRPr="00794670">
        <w:lastRenderedPageBreak/>
        <w:t xml:space="preserve">activities in a way that the responsibilities and working steps of each Partner are clear and transparent. The Programme, however, does not request </w:t>
      </w:r>
      <w:r w:rsidR="00702E01" w:rsidRPr="00794670">
        <w:t xml:space="preserve">the </w:t>
      </w:r>
      <w:r w:rsidRPr="00794670">
        <w:t xml:space="preserve">provision of further detail at </w:t>
      </w:r>
      <w:r w:rsidR="00702E01" w:rsidRPr="00794670">
        <w:t xml:space="preserve">the level of a </w:t>
      </w:r>
      <w:r w:rsidRPr="00794670">
        <w:t>specific task.</w:t>
      </w:r>
    </w:p>
    <w:p w14:paraId="4269ED0F" w14:textId="22470BAE" w:rsidR="002F497F" w:rsidRPr="00794670" w:rsidRDefault="002F497F" w:rsidP="003C58C0">
      <w:pPr>
        <w:spacing w:line="360" w:lineRule="auto"/>
      </w:pPr>
      <w:r w:rsidRPr="00794670">
        <w:t xml:space="preserve">Activities that will be carried out within a project must be logically organised into </w:t>
      </w:r>
      <w:r w:rsidR="00F02972" w:rsidRPr="00794670">
        <w:t>‘</w:t>
      </w:r>
      <w:r w:rsidRPr="00794670">
        <w:t>work packages</w:t>
      </w:r>
      <w:r w:rsidR="00F02972" w:rsidRPr="00794670">
        <w:t>’</w:t>
      </w:r>
      <w:r w:rsidRPr="00794670">
        <w:t xml:space="preserve">, and hence build a project structure. In other words, work packages are tools for structuring the project’s content. They allow </w:t>
      </w:r>
      <w:r w:rsidR="00702E01" w:rsidRPr="00794670">
        <w:t xml:space="preserve">the </w:t>
      </w:r>
      <w:r w:rsidRPr="00794670">
        <w:t>grouping of activities that are of a similar nature and purpose, and that aim to achieve a specific set of objectives. It is not the location, the type of expenditure or the chronology of activities within the project that determine their belonging to a certain work package.</w:t>
      </w:r>
    </w:p>
    <w:p w14:paraId="74B830F0" w14:textId="36BECF17" w:rsidR="002F497F" w:rsidRPr="00794670" w:rsidRDefault="002F497F" w:rsidP="003C58C0">
      <w:pPr>
        <w:spacing w:line="360" w:lineRule="auto"/>
      </w:pPr>
      <w:r w:rsidRPr="00794670">
        <w:t xml:space="preserve">For the implementation of a project, </w:t>
      </w:r>
      <w:r w:rsidRPr="00794670">
        <w:rPr>
          <w:rFonts w:ascii="Open Sans SemiBold" w:eastAsia="Open Sans SemiBold" w:hAnsi="Open Sans SemiBold" w:cs="Open Sans SemiBold"/>
          <w:bCs/>
          <w:color w:val="003399"/>
        </w:rPr>
        <w:t>up to four content-related work packages can be planned</w:t>
      </w:r>
      <w:r w:rsidRPr="00794670">
        <w:t>.</w:t>
      </w:r>
      <w:r w:rsidR="002D77A5" w:rsidRPr="00794670">
        <w:t xml:space="preserve"> </w:t>
      </w:r>
      <w:r w:rsidRPr="00794670">
        <w:t xml:space="preserve">The scope and names of content-related work packages shall be defined by the project according to the specific subject and composition of the project (e.g., </w:t>
      </w:r>
      <w:r w:rsidR="00F02972" w:rsidRPr="00794670">
        <w:t>‘</w:t>
      </w:r>
      <w:r w:rsidRPr="00794670">
        <w:t>strengthening the capacity of risk management organisations</w:t>
      </w:r>
      <w:r w:rsidR="00F02972" w:rsidRPr="00794670">
        <w:t>’</w:t>
      </w:r>
      <w:r w:rsidRPr="00794670">
        <w:t xml:space="preserve">, </w:t>
      </w:r>
      <w:r w:rsidR="00F02972" w:rsidRPr="00794670">
        <w:t>‘</w:t>
      </w:r>
      <w:r w:rsidRPr="00794670">
        <w:t>pilot actions in cross-border risk management</w:t>
      </w:r>
      <w:r w:rsidR="00F02972" w:rsidRPr="00794670">
        <w:t>’</w:t>
      </w:r>
      <w:r w:rsidRPr="00794670">
        <w:t xml:space="preserve">). In addition to the content-related work packages, </w:t>
      </w:r>
      <w:r w:rsidR="00A167AB" w:rsidRPr="00794670">
        <w:t xml:space="preserve">a work package for </w:t>
      </w:r>
      <w:r w:rsidRPr="00794670">
        <w:t xml:space="preserve">project management shall be defined. </w:t>
      </w:r>
    </w:p>
    <w:p w14:paraId="593A54E2" w14:textId="77777777" w:rsidR="002F497F" w:rsidRPr="00794670" w:rsidRDefault="002F497F" w:rsidP="003C58C0">
      <w:pPr>
        <w:spacing w:line="360" w:lineRule="auto"/>
      </w:pPr>
      <w:r w:rsidRPr="00794670">
        <w:t>Additionally, the projects shall define the following technical work packages connected to simplified cost options. These work packages are necessary for administration and financial purposes and thus their description shall be limited.</w:t>
      </w:r>
    </w:p>
    <w:p w14:paraId="3AC49B62" w14:textId="6B00D8C7" w:rsidR="002F497F" w:rsidRDefault="002F497F" w:rsidP="003C58C0">
      <w:pPr>
        <w:pStyle w:val="ListParagraph"/>
        <w:numPr>
          <w:ilvl w:val="0"/>
          <w:numId w:val="57"/>
        </w:numPr>
        <w:spacing w:line="360" w:lineRule="auto"/>
      </w:pPr>
      <w:r w:rsidRPr="00794670">
        <w:t xml:space="preserve">Project preparation: Projects that have not received seed money funding for the development of the project application </w:t>
      </w:r>
      <w:r w:rsidR="002023F6" w:rsidRPr="00794670">
        <w:t>should</w:t>
      </w:r>
      <w:r w:rsidRPr="00794670">
        <w:t xml:space="preserve"> define </w:t>
      </w:r>
      <w:r w:rsidR="00702E01" w:rsidRPr="00794670">
        <w:t xml:space="preserve">a </w:t>
      </w:r>
      <w:r w:rsidRPr="00794670">
        <w:t xml:space="preserve">project preparation work package </w:t>
      </w:r>
      <w:r w:rsidR="00B7310E" w:rsidRPr="00794670">
        <w:t>to</w:t>
      </w:r>
      <w:r w:rsidRPr="00794670">
        <w:t xml:space="preserve"> claim the lump sum for project preparation</w:t>
      </w:r>
      <w:r w:rsidR="000A74F8" w:rsidRPr="00794670">
        <w:t xml:space="preserve"> (</w:t>
      </w:r>
      <w:r w:rsidR="00B23A7B">
        <w:t xml:space="preserve">please </w:t>
      </w:r>
      <w:r w:rsidR="0098375F" w:rsidRPr="00794670">
        <w:t>see</w:t>
      </w:r>
      <w:r w:rsidR="000A74F8" w:rsidRPr="00794670">
        <w:t xml:space="preserve"> Chapter IV, Section 3, Sub-section 3.1. Project preparation costs).</w:t>
      </w:r>
    </w:p>
    <w:p w14:paraId="126EED79" w14:textId="46BDE6DD" w:rsidR="00BF52DB" w:rsidRPr="00BF52DB" w:rsidRDefault="00BF52DB" w:rsidP="003C58C0">
      <w:pPr>
        <w:pStyle w:val="ListParagraph"/>
        <w:numPr>
          <w:ilvl w:val="0"/>
          <w:numId w:val="57"/>
        </w:numPr>
        <w:spacing w:line="360" w:lineRule="auto"/>
      </w:pPr>
      <w:r w:rsidRPr="0092059D">
        <w:lastRenderedPageBreak/>
        <w:t xml:space="preserve">Project closure: Projects have to define project closure work package in order to claim the lump sum for project closure </w:t>
      </w:r>
      <w:bookmarkStart w:id="69" w:name="_Hlk147217766"/>
      <w:r w:rsidRPr="0092059D">
        <w:t>(please see Chapter IV, Section 3, Sub-section 3.</w:t>
      </w:r>
      <w:r>
        <w:t>8.</w:t>
      </w:r>
      <w:r w:rsidRPr="0092059D">
        <w:t xml:space="preserve"> Project closure costs)</w:t>
      </w:r>
      <w:bookmarkEnd w:id="69"/>
      <w:r w:rsidRPr="0092059D">
        <w:t>.</w:t>
      </w:r>
    </w:p>
    <w:p w14:paraId="0EC6EDF0" w14:textId="54DA03EE" w:rsidR="00BF52DB" w:rsidRPr="00BF52DB" w:rsidRDefault="00BF52DB" w:rsidP="003C58C0">
      <w:pPr>
        <w:pStyle w:val="ListParagraph"/>
        <w:numPr>
          <w:ilvl w:val="0"/>
          <w:numId w:val="57"/>
        </w:numPr>
        <w:spacing w:line="360" w:lineRule="auto"/>
      </w:pPr>
      <w:r>
        <w:t>Costs settle by flat rate</w:t>
      </w:r>
      <w:r w:rsidRPr="00794670">
        <w:t xml:space="preserve">: Projects should define a work package for </w:t>
      </w:r>
      <w:r>
        <w:t>costs settle by flat rate</w:t>
      </w:r>
      <w:r w:rsidRPr="00794670">
        <w:t xml:space="preserve"> to claim the flat rate for office and administration expenditures (15% of staff costs), the flat rate for travel and accommodation expenditures (15% of staff costs) and the flat rate for staff costs if this option is applied (20% of direct costs) (</w:t>
      </w:r>
      <w:r>
        <w:t xml:space="preserve">please </w:t>
      </w:r>
      <w:r w:rsidRPr="00794670">
        <w:t>see Chapter IV, Section 3, Sub-section</w:t>
      </w:r>
      <w:r>
        <w:t xml:space="preserve">s </w:t>
      </w:r>
      <w:r w:rsidRPr="00794670">
        <w:t>3.2. Staff costs, 3.3. Office and administration and 3.4. Travel and accommodation).</w:t>
      </w:r>
    </w:p>
    <w:p w14:paraId="763D3D66" w14:textId="14F05A95" w:rsidR="00BA70CC" w:rsidRPr="00794670" w:rsidRDefault="004530BD" w:rsidP="003C58C0">
      <w:pPr>
        <w:spacing w:line="360" w:lineRule="auto"/>
      </w:pPr>
      <w:r w:rsidRPr="00794670">
        <w:rPr>
          <w:rFonts w:ascii="Open Sans ExtraBold"/>
          <w:b/>
          <w:color w:val="003399"/>
          <w:spacing w:val="-2"/>
        </w:rPr>
        <w:t>NB:</w:t>
      </w:r>
      <w:r w:rsidRPr="0031253C">
        <w:rPr>
          <w:rFonts w:ascii="Segoe UI" w:hAnsi="Segoe UI" w:cs="Segoe UI"/>
          <w:sz w:val="18"/>
          <w:szCs w:val="18"/>
          <w:lang w:val="en-GB"/>
        </w:rPr>
        <w:t xml:space="preserve"> </w:t>
      </w:r>
      <w:r w:rsidR="002F497F" w:rsidRPr="00794670">
        <w:t xml:space="preserve">Project communication tasks do not constitute </w:t>
      </w:r>
      <w:r w:rsidR="00BA70CC" w:rsidRPr="00794670">
        <w:t xml:space="preserve">a </w:t>
      </w:r>
      <w:r w:rsidR="002F497F" w:rsidRPr="00794670">
        <w:t xml:space="preserve">separate work package but </w:t>
      </w:r>
      <w:r w:rsidR="002023F6" w:rsidRPr="00794670">
        <w:t>should</w:t>
      </w:r>
      <w:r w:rsidR="002F497F" w:rsidRPr="00794670">
        <w:t xml:space="preserve"> be described in a separate section of the attachment to the Application Form. </w:t>
      </w:r>
    </w:p>
    <w:p w14:paraId="7C76FADB" w14:textId="6BC708F4" w:rsidR="002F497F" w:rsidRPr="00794670" w:rsidRDefault="00817AE2" w:rsidP="003C58C0">
      <w:pPr>
        <w:spacing w:line="360" w:lineRule="auto"/>
      </w:pPr>
      <w:r w:rsidRPr="00794670">
        <w:t>As there is no dedicated work package for communication activities in the project budget, expenses for relevant communication activities and outputs (e.g., materials, handouts, souvenirs, products</w:t>
      </w:r>
      <w:r w:rsidR="007636CB" w:rsidRPr="00794670">
        <w:t>,</w:t>
      </w:r>
      <w:r w:rsidRPr="00794670">
        <w:t xml:space="preserve"> etc</w:t>
      </w:r>
      <w:r w:rsidR="007636CB" w:rsidRPr="00794670">
        <w:t>.</w:t>
      </w:r>
      <w:r w:rsidRPr="00794670">
        <w:t xml:space="preserve">) should be planned within the work packages they are envisaged for. </w:t>
      </w:r>
      <w:r w:rsidR="002F497F" w:rsidRPr="00794670">
        <w:t xml:space="preserve">Therefore, the budget defined </w:t>
      </w:r>
      <w:r w:rsidR="00702E01" w:rsidRPr="00794670">
        <w:t xml:space="preserve">for </w:t>
      </w:r>
      <w:r w:rsidR="002F497F" w:rsidRPr="00794670">
        <w:t>the content-related work packages</w:t>
      </w:r>
      <w:r w:rsidRPr="00794670">
        <w:t xml:space="preserve"> should include expenses for </w:t>
      </w:r>
      <w:r w:rsidR="00702E01" w:rsidRPr="00794670">
        <w:t xml:space="preserve">the </w:t>
      </w:r>
      <w:r w:rsidRPr="00794670">
        <w:t>relevant communication tasks</w:t>
      </w:r>
      <w:r w:rsidR="002F497F" w:rsidRPr="00794670">
        <w:t>.</w:t>
      </w:r>
    </w:p>
    <w:p w14:paraId="0523913F" w14:textId="5BF696D3" w:rsidR="00817AE2" w:rsidRPr="00794670" w:rsidRDefault="00817AE2" w:rsidP="003C58C0">
      <w:pPr>
        <w:spacing w:line="360" w:lineRule="auto"/>
      </w:pPr>
      <w:r w:rsidRPr="00794670">
        <w:t xml:space="preserve">It is also recommended for project </w:t>
      </w:r>
      <w:r w:rsidR="00BA70CC" w:rsidRPr="00794670">
        <w:t>partners</w:t>
      </w:r>
      <w:r w:rsidRPr="00794670">
        <w:t xml:space="preserve"> to </w:t>
      </w:r>
      <w:r w:rsidR="00BA70CC" w:rsidRPr="00794670">
        <w:t xml:space="preserve">determine and include project exit activities in the list of project actions, if relevant, e.g., an exit plan, a durability plan to ensure sustainability of </w:t>
      </w:r>
      <w:r w:rsidR="00702E01" w:rsidRPr="00794670">
        <w:t xml:space="preserve">the </w:t>
      </w:r>
      <w:r w:rsidR="00BA70CC" w:rsidRPr="00794670">
        <w:t>project results</w:t>
      </w:r>
      <w:r w:rsidR="007636CB" w:rsidRPr="00794670">
        <w:t>,</w:t>
      </w:r>
      <w:r w:rsidR="00BA70CC" w:rsidRPr="00794670">
        <w:t xml:space="preserve"> etc</w:t>
      </w:r>
      <w:r w:rsidR="007636CB" w:rsidRPr="00794670">
        <w:t>.,</w:t>
      </w:r>
      <w:r w:rsidR="00BA70CC" w:rsidRPr="00794670">
        <w:t xml:space="preserve"> to ensure smooth project finalisation, closure, and durability.</w:t>
      </w:r>
    </w:p>
    <w:p w14:paraId="3129C0D1" w14:textId="0DDC9AD4" w:rsidR="00061A31" w:rsidRPr="00794670" w:rsidRDefault="002F497F" w:rsidP="003C58C0">
      <w:pPr>
        <w:spacing w:line="360" w:lineRule="auto"/>
      </w:pPr>
      <w:r w:rsidRPr="00794670">
        <w:t>The Programme will provide guidelines on filling in and submitting the Application Form (including work packages) with each call for proposals.</w:t>
      </w:r>
    </w:p>
    <w:p w14:paraId="2D9AD3B4" w14:textId="366391AA" w:rsidR="003A7F6E" w:rsidRPr="006D049C" w:rsidRDefault="008D77D8" w:rsidP="003C58C0">
      <w:pPr>
        <w:pStyle w:val="Heading1"/>
        <w:spacing w:line="360" w:lineRule="auto"/>
      </w:pPr>
      <w:bookmarkStart w:id="70" w:name="_Toc147242403"/>
      <w:r w:rsidRPr="006D049C">
        <w:lastRenderedPageBreak/>
        <w:t>IV GENERAL RULES ON ELIGIBILITY OF COSTS AND BUDGET STRUCTURE</w:t>
      </w:r>
      <w:bookmarkEnd w:id="70"/>
    </w:p>
    <w:p w14:paraId="17001814" w14:textId="58F48B0A" w:rsidR="00770D21" w:rsidRPr="008D61AB" w:rsidRDefault="003A7F6E" w:rsidP="003C58C0">
      <w:pPr>
        <w:spacing w:line="360" w:lineRule="auto"/>
      </w:pPr>
      <w:bookmarkStart w:id="71" w:name="IV1"/>
      <w:r w:rsidRPr="008D61AB">
        <w:t xml:space="preserve">This chapter gives a brief outline of the main financial requirements applicants have to consider when developing project proposals, as well as when implementing their projects. </w:t>
      </w:r>
    </w:p>
    <w:p w14:paraId="63492537" w14:textId="77777777" w:rsidR="003A7F6E" w:rsidRPr="008D61AB" w:rsidRDefault="003A7F6E" w:rsidP="003C58C0">
      <w:pPr>
        <w:pStyle w:val="Heading2"/>
        <w:spacing w:line="360" w:lineRule="auto"/>
      </w:pPr>
      <w:bookmarkStart w:id="72" w:name="_Toc147242404"/>
      <w:r w:rsidRPr="008D61AB">
        <w:t>1 GENERAL RULES ON COST ELIGIBILITY</w:t>
      </w:r>
      <w:bookmarkEnd w:id="72"/>
    </w:p>
    <w:p w14:paraId="700D7D10" w14:textId="77777777" w:rsidR="003A7F6E" w:rsidRPr="008D61AB" w:rsidRDefault="003A7F6E" w:rsidP="003C58C0">
      <w:pPr>
        <w:spacing w:line="360" w:lineRule="auto"/>
      </w:pPr>
      <w:r w:rsidRPr="008D61AB">
        <w:t>All costs must follow the principles of sound financial management. The rules for eligibility, as all Programme rules, apply to all types of partners, regardless of their legal status.</w:t>
      </w:r>
    </w:p>
    <w:p w14:paraId="5083C533" w14:textId="77777777" w:rsidR="003A7F6E" w:rsidRPr="008D61AB" w:rsidRDefault="003A7F6E" w:rsidP="003C58C0">
      <w:pPr>
        <w:spacing w:line="360" w:lineRule="auto"/>
      </w:pPr>
      <w:r w:rsidRPr="008D61AB">
        <w:t>Three levels of rules apply to the eligibility of expenditure within the framework of the South Baltic Programme:</w:t>
      </w:r>
    </w:p>
    <w:p w14:paraId="25CDFBD9" w14:textId="77777777" w:rsidR="008D61AB" w:rsidRDefault="003A7F6E" w:rsidP="003C58C0">
      <w:pPr>
        <w:pStyle w:val="ListParagraph"/>
        <w:numPr>
          <w:ilvl w:val="0"/>
          <w:numId w:val="23"/>
        </w:numPr>
        <w:spacing w:line="360" w:lineRule="auto"/>
      </w:pPr>
      <w:r w:rsidRPr="008D61AB">
        <w:rPr>
          <w:rFonts w:ascii="Open Sans SemiBold" w:eastAsia="Open Sans SemiBold" w:hAnsi="Open Sans SemiBold" w:cs="Open Sans SemiBold"/>
          <w:bCs/>
          <w:color w:val="003399"/>
        </w:rPr>
        <w:t>EU rules.</w:t>
      </w:r>
      <w:r w:rsidRPr="008D61AB">
        <w:t xml:space="preserve"> Taking into account that the Programme is co-financed from the ERDF, all general rules concerning eligibility of expenditure regarding structural funds are applicable. EU regulations to be followed:</w:t>
      </w:r>
    </w:p>
    <w:p w14:paraId="6426DC44" w14:textId="77777777" w:rsidR="008D61AB" w:rsidRDefault="003A7F6E" w:rsidP="003C58C0">
      <w:pPr>
        <w:pStyle w:val="ListParagraph"/>
        <w:numPr>
          <w:ilvl w:val="0"/>
          <w:numId w:val="4"/>
        </w:numPr>
        <w:spacing w:line="360" w:lineRule="auto"/>
      </w:pPr>
      <w:r w:rsidRPr="008D61AB">
        <w:t>Regulation (EU, Euratom) No 966/2012</w:t>
      </w:r>
      <w:r w:rsidR="0015601C" w:rsidRPr="008D61AB">
        <w:t>,</w:t>
      </w:r>
      <w:r w:rsidRPr="008D61AB">
        <w:t xml:space="preserve"> providing the financial rules applicable to the general budget of the Union;</w:t>
      </w:r>
    </w:p>
    <w:p w14:paraId="2680385E" w14:textId="77777777" w:rsidR="008D61AB" w:rsidRDefault="003A7F6E" w:rsidP="003C58C0">
      <w:pPr>
        <w:pStyle w:val="ListParagraph"/>
        <w:numPr>
          <w:ilvl w:val="0"/>
          <w:numId w:val="4"/>
        </w:numPr>
        <w:spacing w:line="360" w:lineRule="auto"/>
      </w:pPr>
      <w:r w:rsidRPr="008D61AB">
        <w:t>Regulation (EU) No 2021/1060</w:t>
      </w:r>
      <w:r w:rsidR="0015601C" w:rsidRPr="008D61AB">
        <w:t>,</w:t>
      </w:r>
      <w:r w:rsidRPr="008D61AB">
        <w:t xml:space="preserve"> where Articles 63 to 68 give specific provisions on applicable law as well as on</w:t>
      </w:r>
      <w:r w:rsidR="0015601C" w:rsidRPr="008D61AB">
        <w:t xml:space="preserve"> the</w:t>
      </w:r>
      <w:r w:rsidRPr="008D61AB">
        <w:t xml:space="preserve"> eligibility of expenditure;</w:t>
      </w:r>
    </w:p>
    <w:p w14:paraId="6BD30147" w14:textId="77777777" w:rsidR="008D61AB" w:rsidRDefault="003A7F6E" w:rsidP="003C58C0">
      <w:pPr>
        <w:pStyle w:val="ListParagraph"/>
        <w:numPr>
          <w:ilvl w:val="0"/>
          <w:numId w:val="4"/>
        </w:numPr>
        <w:spacing w:line="360" w:lineRule="auto"/>
      </w:pPr>
      <w:r w:rsidRPr="008D61AB">
        <w:t>Regulation (EU) No 2021/1060</w:t>
      </w:r>
      <w:r w:rsidR="0015601C" w:rsidRPr="008D61AB">
        <w:t>,</w:t>
      </w:r>
      <w:r w:rsidRPr="008D61AB">
        <w:t xml:space="preserve"> where articles 53 to 57 give specific provisions on the forms of grants;</w:t>
      </w:r>
    </w:p>
    <w:p w14:paraId="28E70066" w14:textId="7B75A8A0" w:rsidR="003A7F6E" w:rsidRPr="008D61AB" w:rsidRDefault="003A7F6E" w:rsidP="003C58C0">
      <w:pPr>
        <w:pStyle w:val="ListParagraph"/>
        <w:numPr>
          <w:ilvl w:val="0"/>
          <w:numId w:val="4"/>
        </w:numPr>
        <w:spacing w:line="360" w:lineRule="auto"/>
      </w:pPr>
      <w:r w:rsidRPr="008D61AB">
        <w:t>Regulation (EU) No 2021/1059</w:t>
      </w:r>
      <w:r w:rsidR="0015601C" w:rsidRPr="008D61AB">
        <w:t>,</w:t>
      </w:r>
      <w:r w:rsidRPr="008D61AB">
        <w:t xml:space="preserve"> where Articles 37 to 44 give specific provisions on </w:t>
      </w:r>
      <w:r w:rsidR="0015601C" w:rsidRPr="008D61AB">
        <w:t xml:space="preserve">the </w:t>
      </w:r>
      <w:r w:rsidRPr="008D61AB">
        <w:t>eligibility of expenditure applicable to programmes of the European Territorial Cooperation goal (Interreg);</w:t>
      </w:r>
    </w:p>
    <w:p w14:paraId="0DA1E12A" w14:textId="6364C073" w:rsidR="00BF6B13" w:rsidRPr="00B45AD7" w:rsidRDefault="003A7F6E" w:rsidP="003C58C0">
      <w:pPr>
        <w:pStyle w:val="ListParagraph"/>
        <w:numPr>
          <w:ilvl w:val="0"/>
          <w:numId w:val="23"/>
        </w:numPr>
        <w:spacing w:line="360" w:lineRule="auto"/>
      </w:pPr>
      <w:r w:rsidRPr="00B45AD7">
        <w:rPr>
          <w:rFonts w:ascii="Open Sans SemiBold" w:eastAsia="Open Sans SemiBold" w:hAnsi="Open Sans SemiBold" w:cs="Open Sans SemiBold"/>
          <w:bCs/>
          <w:color w:val="003399"/>
        </w:rPr>
        <w:t>Programme rules</w:t>
      </w:r>
      <w:r w:rsidRPr="00B45AD7">
        <w:t xml:space="preserve">. </w:t>
      </w:r>
      <w:r w:rsidRPr="008D61AB">
        <w:t xml:space="preserve">Additional rules on </w:t>
      </w:r>
      <w:r w:rsidR="0015601C" w:rsidRPr="008D61AB">
        <w:t xml:space="preserve">the </w:t>
      </w:r>
      <w:r w:rsidRPr="008D61AB">
        <w:t>eligibility of expenditure for the Programme as a whole, as described in the Programme Manual.</w:t>
      </w:r>
    </w:p>
    <w:p w14:paraId="4F0D5791" w14:textId="7237A6BF" w:rsidR="003A7F6E" w:rsidRPr="00B45AD7" w:rsidRDefault="003A7F6E" w:rsidP="003C58C0">
      <w:pPr>
        <w:pStyle w:val="ListParagraph"/>
        <w:numPr>
          <w:ilvl w:val="0"/>
          <w:numId w:val="23"/>
        </w:numPr>
        <w:spacing w:line="360" w:lineRule="auto"/>
      </w:pPr>
      <w:r w:rsidRPr="00B45AD7">
        <w:rPr>
          <w:rFonts w:ascii="Open Sans SemiBold" w:eastAsia="Open Sans SemiBold" w:hAnsi="Open Sans SemiBold" w:cs="Open Sans SemiBold"/>
          <w:bCs/>
          <w:color w:val="003399"/>
        </w:rPr>
        <w:lastRenderedPageBreak/>
        <w:t>National (including institutional) eligibility rules</w:t>
      </w:r>
      <w:r w:rsidRPr="008D61AB">
        <w:t xml:space="preserve">. Apply to matters not covered by </w:t>
      </w:r>
      <w:r w:rsidR="0015601C" w:rsidRPr="008D61AB">
        <w:t xml:space="preserve">the </w:t>
      </w:r>
      <w:r w:rsidRPr="008D61AB">
        <w:t>eligibility rules laid down in the abovementioned EU and Programme rules.</w:t>
      </w:r>
    </w:p>
    <w:p w14:paraId="4DE535E2" w14:textId="77777777" w:rsidR="003A7F6E" w:rsidRPr="0072780D" w:rsidRDefault="003A7F6E" w:rsidP="003C58C0">
      <w:pPr>
        <w:spacing w:line="360" w:lineRule="auto"/>
        <w:rPr>
          <w:rFonts w:ascii="Segoe UI" w:hAnsi="Segoe UI" w:cs="Segoe UI"/>
          <w:lang w:val="en-GB"/>
        </w:rPr>
      </w:pPr>
      <w:r w:rsidRPr="00F02503">
        <w:t>At the stage of assessment of the project application, the eligibility of costs included in the application is verified. During project implementation, the eligibility of expenditure incurred is</w:t>
      </w:r>
      <w:r w:rsidRPr="0072780D">
        <w:rPr>
          <w:rFonts w:ascii="Segoe UI" w:hAnsi="Segoe UI" w:cs="Segoe UI"/>
          <w:lang w:val="en-GB"/>
        </w:rPr>
        <w:t xml:space="preserve"> </w:t>
      </w:r>
      <w:r w:rsidRPr="00F02503">
        <w:t>verified by the First Level controller (and other institutions) through the check of Progress Reports and project controls.</w:t>
      </w:r>
      <w:r w:rsidRPr="0072780D">
        <w:rPr>
          <w:rFonts w:ascii="Segoe UI" w:hAnsi="Segoe UI" w:cs="Segoe UI"/>
          <w:lang w:val="en-GB"/>
        </w:rPr>
        <w:t xml:space="preserve"> </w:t>
      </w:r>
    </w:p>
    <w:p w14:paraId="6D5101A1" w14:textId="5C04DD54" w:rsidR="003A7F6E" w:rsidRPr="00F02503" w:rsidRDefault="003A7F6E" w:rsidP="003C58C0">
      <w:pPr>
        <w:spacing w:line="360" w:lineRule="auto"/>
      </w:pPr>
      <w:r w:rsidRPr="00F02503">
        <w:rPr>
          <w:rFonts w:ascii="Open Sans SemiBold" w:eastAsia="Open Sans SemiBold" w:hAnsi="Open Sans SemiBold" w:cs="Open Sans SemiBold"/>
          <w:bCs/>
          <w:color w:val="003399"/>
        </w:rPr>
        <w:t>Eligible expenditure</w:t>
      </w:r>
      <w:r w:rsidRPr="00F02503">
        <w:t xml:space="preserve"> is expenditure that meets all of the following conditions:</w:t>
      </w:r>
    </w:p>
    <w:p w14:paraId="7AD06274" w14:textId="719C848A" w:rsidR="003A7F6E" w:rsidRPr="00F02503" w:rsidRDefault="00E35F33" w:rsidP="003C58C0">
      <w:pPr>
        <w:pStyle w:val="ListParagraph"/>
        <w:numPr>
          <w:ilvl w:val="0"/>
          <w:numId w:val="20"/>
        </w:numPr>
        <w:spacing w:line="360" w:lineRule="auto"/>
      </w:pPr>
      <w:r>
        <w:t>It</w:t>
      </w:r>
      <w:r w:rsidR="003A7F6E" w:rsidRPr="00F02503">
        <w:t xml:space="preserve"> was incurred in line with the provisions of the subsidy contract and the approved </w:t>
      </w:r>
      <w:r w:rsidR="00A34E28" w:rsidRPr="00F02503">
        <w:t>A</w:t>
      </w:r>
      <w:r w:rsidR="003A7F6E" w:rsidRPr="00F02503">
        <w:t xml:space="preserve">pplication </w:t>
      </w:r>
      <w:r w:rsidR="00A34E28" w:rsidRPr="00F02503">
        <w:t>F</w:t>
      </w:r>
      <w:r w:rsidR="003A7F6E" w:rsidRPr="00F02503">
        <w:t>orm</w:t>
      </w:r>
      <w:r>
        <w:t>.</w:t>
      </w:r>
    </w:p>
    <w:p w14:paraId="275DF6CD" w14:textId="06563D37" w:rsidR="003A7F6E" w:rsidRPr="00F02503" w:rsidRDefault="00E35F33" w:rsidP="003C58C0">
      <w:pPr>
        <w:pStyle w:val="ListParagraph"/>
        <w:numPr>
          <w:ilvl w:val="0"/>
          <w:numId w:val="20"/>
        </w:numPr>
        <w:spacing w:line="360" w:lineRule="auto"/>
      </w:pPr>
      <w:r>
        <w:t>It</w:t>
      </w:r>
      <w:r w:rsidR="003A7F6E" w:rsidRPr="00F02503">
        <w:t xml:space="preserve"> complies with the rules laid down in the Programme and the Programme Manual</w:t>
      </w:r>
      <w:r>
        <w:t>.</w:t>
      </w:r>
    </w:p>
    <w:p w14:paraId="5AD1D749" w14:textId="53EBD200" w:rsidR="003A7F6E" w:rsidRPr="00F02503" w:rsidRDefault="00E35F33" w:rsidP="003C58C0">
      <w:pPr>
        <w:pStyle w:val="ListParagraph"/>
        <w:numPr>
          <w:ilvl w:val="0"/>
          <w:numId w:val="20"/>
        </w:numPr>
        <w:spacing w:line="360" w:lineRule="auto"/>
      </w:pPr>
      <w:r>
        <w:t xml:space="preserve">It </w:t>
      </w:r>
      <w:r w:rsidR="003A7F6E" w:rsidRPr="00F02503">
        <w:t>complies with the applicable EU and national law</w:t>
      </w:r>
      <w:r>
        <w:t>.</w:t>
      </w:r>
    </w:p>
    <w:p w14:paraId="3F3CE9EE" w14:textId="37D10E90" w:rsidR="003A7F6E" w:rsidRPr="00F02503" w:rsidRDefault="00E35F33" w:rsidP="003C58C0">
      <w:pPr>
        <w:pStyle w:val="ListParagraph"/>
        <w:numPr>
          <w:ilvl w:val="0"/>
          <w:numId w:val="20"/>
        </w:numPr>
        <w:spacing w:line="360" w:lineRule="auto"/>
      </w:pPr>
      <w:r>
        <w:t>It</w:t>
      </w:r>
      <w:r w:rsidR="003A7F6E" w:rsidRPr="00F02503">
        <w:t xml:space="preserve"> </w:t>
      </w:r>
      <w:r w:rsidR="003114AF" w:rsidRPr="00F02503">
        <w:t>was</w:t>
      </w:r>
      <w:r w:rsidR="003A7F6E" w:rsidRPr="00F02503">
        <w:t xml:space="preserve"> actually incurred within the period specified in the subsidy contract (with </w:t>
      </w:r>
      <w:r w:rsidR="00C80474" w:rsidRPr="00F02503">
        <w:t xml:space="preserve">the </w:t>
      </w:r>
      <w:r w:rsidR="003A7F6E" w:rsidRPr="00F02503">
        <w:t>exception of project preparation and closure costs)</w:t>
      </w:r>
      <w:r>
        <w:t>.</w:t>
      </w:r>
    </w:p>
    <w:p w14:paraId="1EE72435" w14:textId="480D38E5" w:rsidR="003A7F6E" w:rsidRPr="00F02503" w:rsidRDefault="00E35F33" w:rsidP="003C58C0">
      <w:pPr>
        <w:pStyle w:val="ListParagraph"/>
        <w:numPr>
          <w:ilvl w:val="0"/>
          <w:numId w:val="20"/>
        </w:numPr>
        <w:spacing w:line="360" w:lineRule="auto"/>
      </w:pPr>
      <w:r>
        <w:t>I</w:t>
      </w:r>
      <w:r w:rsidR="003A7F6E" w:rsidRPr="00F02503">
        <w:t xml:space="preserve">t has been incurred in relation to the project implementation and it is necessary for </w:t>
      </w:r>
      <w:r w:rsidR="00C80474" w:rsidRPr="00F02503">
        <w:t xml:space="preserve">the </w:t>
      </w:r>
      <w:r w:rsidR="003A7F6E" w:rsidRPr="00F02503">
        <w:t>project implementation</w:t>
      </w:r>
      <w:r>
        <w:t>.</w:t>
      </w:r>
    </w:p>
    <w:p w14:paraId="4990B2C4" w14:textId="350BAFB6" w:rsidR="003A7F6E" w:rsidRPr="00F02503" w:rsidRDefault="00E35F33" w:rsidP="003C58C0">
      <w:pPr>
        <w:pStyle w:val="ListParagraph"/>
        <w:numPr>
          <w:ilvl w:val="0"/>
          <w:numId w:val="20"/>
        </w:numPr>
        <w:spacing w:line="360" w:lineRule="auto"/>
      </w:pPr>
      <w:r>
        <w:t>It</w:t>
      </w:r>
      <w:r w:rsidR="003A7F6E" w:rsidRPr="00F02503">
        <w:t xml:space="preserve"> has been made rationally and effectively, in line with the principle of achieving the best results from a given input</w:t>
      </w:r>
      <w:r w:rsidR="007A7BD1">
        <w:t>.</w:t>
      </w:r>
    </w:p>
    <w:p w14:paraId="3C52940D" w14:textId="13F2D421" w:rsidR="003A7F6E" w:rsidRPr="00F02503" w:rsidRDefault="003A7F6E" w:rsidP="003C58C0">
      <w:pPr>
        <w:spacing w:line="360" w:lineRule="auto"/>
      </w:pPr>
      <w:r w:rsidRPr="00F02503">
        <w:t xml:space="preserve">Publicity rules must be followed for incurred costs, particularly events, </w:t>
      </w:r>
      <w:r w:rsidR="00EA2495" w:rsidRPr="00F02503">
        <w:t>equipment,</w:t>
      </w:r>
      <w:r w:rsidRPr="00F02503">
        <w:t xml:space="preserve"> and publications. </w:t>
      </w:r>
    </w:p>
    <w:p w14:paraId="2211CC79" w14:textId="54FEBB07" w:rsidR="003A7F6E" w:rsidRPr="00F02503" w:rsidRDefault="00E35F33" w:rsidP="003C58C0">
      <w:pPr>
        <w:pStyle w:val="ListParagraph"/>
        <w:numPr>
          <w:ilvl w:val="0"/>
          <w:numId w:val="20"/>
        </w:numPr>
        <w:spacing w:line="360" w:lineRule="auto"/>
      </w:pPr>
      <w:r>
        <w:t>It</w:t>
      </w:r>
      <w:r w:rsidR="003A7F6E" w:rsidRPr="00F02503">
        <w:t xml:space="preserve"> has been appropriately documented</w:t>
      </w:r>
      <w:r>
        <w:t>.</w:t>
      </w:r>
    </w:p>
    <w:p w14:paraId="3FB7E815" w14:textId="52CE8614" w:rsidR="003A7F6E" w:rsidRPr="00F02503" w:rsidRDefault="00E35F33" w:rsidP="003C58C0">
      <w:pPr>
        <w:pStyle w:val="ListParagraph"/>
        <w:numPr>
          <w:ilvl w:val="0"/>
          <w:numId w:val="20"/>
        </w:numPr>
        <w:spacing w:line="360" w:lineRule="auto"/>
      </w:pPr>
      <w:r>
        <w:t>It</w:t>
      </w:r>
      <w:r w:rsidR="003A7F6E" w:rsidRPr="00F02503">
        <w:t xml:space="preserve"> has been appropriately entered in the accounting system</w:t>
      </w:r>
      <w:r>
        <w:t>.</w:t>
      </w:r>
    </w:p>
    <w:p w14:paraId="1E5CAB9A" w14:textId="077EE1B6" w:rsidR="003A7F6E" w:rsidRPr="00F02503" w:rsidRDefault="00E35F33" w:rsidP="003C58C0">
      <w:pPr>
        <w:pStyle w:val="ListParagraph"/>
        <w:numPr>
          <w:ilvl w:val="0"/>
          <w:numId w:val="20"/>
        </w:numPr>
        <w:spacing w:line="360" w:lineRule="auto"/>
      </w:pPr>
      <w:r>
        <w:t>It</w:t>
      </w:r>
      <w:r w:rsidR="003A7F6E" w:rsidRPr="00F02503">
        <w:t xml:space="preserve"> has been specified in the progress report.</w:t>
      </w:r>
    </w:p>
    <w:p w14:paraId="30E3C497" w14:textId="4A941962" w:rsidR="003A7F6E" w:rsidRPr="0072780D" w:rsidRDefault="003A7F6E" w:rsidP="003C58C0">
      <w:pPr>
        <w:spacing w:line="360" w:lineRule="auto"/>
        <w:rPr>
          <w:rFonts w:ascii="Segoe UI" w:hAnsi="Segoe UI" w:cs="Segoe UI"/>
          <w:lang w:val="en-GB"/>
        </w:rPr>
      </w:pPr>
      <w:r w:rsidRPr="00F02503">
        <w:rPr>
          <w:rFonts w:ascii="Open Sans SemiBold" w:eastAsia="Open Sans SemiBold" w:hAnsi="Open Sans SemiBold" w:cs="Open Sans SemiBold"/>
          <w:bCs/>
          <w:color w:val="003399"/>
        </w:rPr>
        <w:lastRenderedPageBreak/>
        <w:t>Expenditure</w:t>
      </w:r>
      <w:r w:rsidR="00216D16" w:rsidRPr="00F02503">
        <w:rPr>
          <w:rFonts w:ascii="Open Sans SemiBold" w:eastAsia="Open Sans SemiBold" w:hAnsi="Open Sans SemiBold" w:cs="Open Sans SemiBold"/>
          <w:bCs/>
          <w:color w:val="003399"/>
        </w:rPr>
        <w:t>s</w:t>
      </w:r>
      <w:r w:rsidRPr="00F02503">
        <w:rPr>
          <w:rFonts w:ascii="Open Sans SemiBold" w:eastAsia="Open Sans SemiBold" w:hAnsi="Open Sans SemiBold" w:cs="Open Sans SemiBold"/>
          <w:bCs/>
          <w:color w:val="003399"/>
        </w:rPr>
        <w:t xml:space="preserve"> eligible</w:t>
      </w:r>
      <w:r w:rsidRPr="0072780D">
        <w:rPr>
          <w:rFonts w:ascii="Segoe UI" w:hAnsi="Segoe UI" w:cs="Segoe UI"/>
          <w:lang w:val="en-GB"/>
        </w:rPr>
        <w:t xml:space="preserve"> </w:t>
      </w:r>
      <w:r w:rsidRPr="00F02503">
        <w:t xml:space="preserve">for co-financing </w:t>
      </w:r>
      <w:r w:rsidR="00216D16" w:rsidRPr="00F02503">
        <w:t>are</w:t>
      </w:r>
      <w:r w:rsidRPr="00F02503">
        <w:t xml:space="preserve"> expenditure</w:t>
      </w:r>
      <w:r w:rsidR="00216D16" w:rsidRPr="00F02503">
        <w:t>s</w:t>
      </w:r>
      <w:r w:rsidRPr="00F02503">
        <w:t xml:space="preserve"> actually incurred by the project partner or body entitled to incur costs on behalf of a project partner (real costs), and costs reimbursed by simplified cost options.</w:t>
      </w:r>
    </w:p>
    <w:p w14:paraId="2CF992BF" w14:textId="0886DA09" w:rsidR="003A7F6E" w:rsidRPr="00F02503" w:rsidRDefault="003A7F6E" w:rsidP="003C58C0">
      <w:pPr>
        <w:spacing w:line="360" w:lineRule="auto"/>
      </w:pPr>
      <w:r w:rsidRPr="00F02503">
        <w:t>Forms of support</w:t>
      </w:r>
      <w:r w:rsidR="0072780D" w:rsidRPr="00F02503">
        <w:t>:</w:t>
      </w:r>
    </w:p>
    <w:p w14:paraId="7D7F8492" w14:textId="77777777" w:rsidR="003A7F6E" w:rsidRPr="00F02503" w:rsidRDefault="003A7F6E" w:rsidP="003C58C0">
      <w:pPr>
        <w:pStyle w:val="ListParagraph"/>
        <w:numPr>
          <w:ilvl w:val="0"/>
          <w:numId w:val="21"/>
        </w:numPr>
        <w:spacing w:line="360" w:lineRule="auto"/>
      </w:pPr>
      <w:r w:rsidRPr="00F02503">
        <w:t>Real costs</w:t>
      </w:r>
    </w:p>
    <w:p w14:paraId="200DD76B" w14:textId="77777777" w:rsidR="003A7F6E" w:rsidRPr="00F02503" w:rsidRDefault="003A7F6E" w:rsidP="003C58C0">
      <w:pPr>
        <w:spacing w:line="360" w:lineRule="auto"/>
      </w:pPr>
      <w:r w:rsidRPr="00F02503">
        <w:t xml:space="preserve">Expenditure actually incurred and paid by project partners. </w:t>
      </w:r>
    </w:p>
    <w:p w14:paraId="4E0DD972" w14:textId="14910801" w:rsidR="003A7F6E" w:rsidRPr="00F02503" w:rsidRDefault="003A7F6E" w:rsidP="003C58C0">
      <w:pPr>
        <w:pStyle w:val="ListParagraph"/>
        <w:numPr>
          <w:ilvl w:val="0"/>
          <w:numId w:val="21"/>
        </w:numPr>
        <w:spacing w:line="360" w:lineRule="auto"/>
      </w:pPr>
      <w:r w:rsidRPr="00F02503">
        <w:t>Simplified cost options (SCOs)</w:t>
      </w:r>
    </w:p>
    <w:p w14:paraId="20E7EF5F" w14:textId="06EC37C1" w:rsidR="007A7BD1" w:rsidRDefault="003A7F6E" w:rsidP="003C58C0">
      <w:pPr>
        <w:spacing w:line="360" w:lineRule="auto"/>
      </w:pPr>
      <w:r w:rsidRPr="00F02503">
        <w:t xml:space="preserve">Pre-defined simplified methods such as lump sums </w:t>
      </w:r>
      <w:r w:rsidR="00FD2834" w:rsidRPr="00F02503">
        <w:t xml:space="preserve">and </w:t>
      </w:r>
      <w:r w:rsidRPr="00F02503">
        <w:t>flat rates</w:t>
      </w:r>
      <w:r w:rsidR="00C80474" w:rsidRPr="00F02503">
        <w:t>.</w:t>
      </w:r>
      <w:r w:rsidR="0058304F">
        <w:rPr>
          <w:rStyle w:val="FootnoteReference"/>
          <w:rFonts w:eastAsia="Open Sans" w:cs="Open Sans"/>
          <w:sz w:val="20"/>
          <w:szCs w:val="20"/>
        </w:rPr>
        <w:footnoteReference w:id="30"/>
      </w:r>
    </w:p>
    <w:p w14:paraId="17E7D34D" w14:textId="4ADC59EC" w:rsidR="00B376C6" w:rsidRDefault="001E4FF4" w:rsidP="003C58C0">
      <w:pPr>
        <w:spacing w:line="360" w:lineRule="auto"/>
      </w:pPr>
      <w:r>
        <w:rPr>
          <w:noProof/>
        </w:rPr>
        <mc:AlternateContent>
          <mc:Choice Requires="wps">
            <w:drawing>
              <wp:inline distT="0" distB="0" distL="0" distR="0" wp14:anchorId="02729246" wp14:editId="00622B40">
                <wp:extent cx="5780405" cy="1381125"/>
                <wp:effectExtent l="0" t="0" r="10795" b="28575"/>
                <wp:docPr id="28605462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0405" cy="1381125"/>
                        </a:xfrm>
                        <a:prstGeom prst="rect">
                          <a:avLst/>
                        </a:prstGeom>
                        <a:ln w="12700">
                          <a:solidFill>
                            <a:srgbClr val="003399"/>
                          </a:solidFill>
                          <a:prstDash val="solid"/>
                        </a:ln>
                      </wps:spPr>
                      <wps:txbx>
                        <w:txbxContent>
                          <w:p w14:paraId="2AC3A05D" w14:textId="77777777" w:rsidR="001E4FF4" w:rsidRPr="001E4FF4" w:rsidRDefault="001E4FF4" w:rsidP="001E4FF4">
                            <w:pPr>
                              <w:pStyle w:val="BodyText"/>
                              <w:rPr>
                                <w:rFonts w:ascii="Open Sans SemiBold" w:eastAsia="Open Sans SemiBold" w:hAnsi="Open Sans SemiBold" w:cs="Open Sans SemiBold"/>
                                <w:bCs/>
                                <w:color w:val="003399"/>
                                <w:sz w:val="24"/>
                                <w:szCs w:val="22"/>
                                <w:lang w:eastAsia="en-US"/>
                              </w:rPr>
                            </w:pPr>
                            <w:r w:rsidRPr="001E4FF4">
                              <w:rPr>
                                <w:rFonts w:ascii="Open Sans SemiBold" w:eastAsia="Open Sans SemiBold" w:hAnsi="Open Sans SemiBold" w:cs="Open Sans SemiBold"/>
                                <w:bCs/>
                                <w:color w:val="003399"/>
                                <w:sz w:val="24"/>
                                <w:szCs w:val="22"/>
                                <w:lang w:eastAsia="en-US"/>
                              </w:rPr>
                              <w:t xml:space="preserve">Note: </w:t>
                            </w:r>
                          </w:p>
                          <w:p w14:paraId="2DEBD1CC"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Where SCOs are used, some financial documents (e.g., invoices, proofs of payment) related to cost items are not checked, but the eligible costs are calculated according to a pre-defined method based on activities, outputs, results (lump sum), or as a fixed percentage of some other costs (flat rate).</w:t>
                            </w:r>
                          </w:p>
                        </w:txbxContent>
                      </wps:txbx>
                      <wps:bodyPr wrap="square" lIns="0" tIns="0" rIns="0" bIns="0" rtlCol="0">
                        <a:noAutofit/>
                      </wps:bodyPr>
                    </wps:wsp>
                  </a:graphicData>
                </a:graphic>
              </wp:inline>
            </w:drawing>
          </mc:Choice>
          <mc:Fallback>
            <w:pict>
              <v:shape w14:anchorId="02729246" id="_x0000_s1050" type="#_x0000_t202" style="width:455.15pt;height:10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" filled="f" strokecolor="#039" strokeweight="1pt">
                <v:path arrowok="t"/>
                <v:textbox inset="0,0,0,0">
                  <w:txbxContent>
                    <w:p w14:paraId="2AC3A05D" w14:textId="77777777" w:rsidR="001E4FF4" w:rsidRPr="001E4FF4" w:rsidRDefault="001E4FF4" w:rsidP="001E4FF4">
                      <w:pPr>
                        <w:pStyle w:val="BodyText"/>
                        <w:rPr>
                          <w:rFonts w:ascii="Open Sans SemiBold" w:eastAsia="Open Sans SemiBold" w:hAnsi="Open Sans SemiBold" w:cs="Open Sans SemiBold"/>
                          <w:bCs/>
                          <w:color w:val="003399"/>
                          <w:sz w:val="24"/>
                          <w:szCs w:val="22"/>
                          <w:lang w:eastAsia="en-US"/>
                        </w:rPr>
                      </w:pPr>
                      <w:r w:rsidRPr="001E4FF4">
                        <w:rPr>
                          <w:rFonts w:ascii="Open Sans SemiBold" w:eastAsia="Open Sans SemiBold" w:hAnsi="Open Sans SemiBold" w:cs="Open Sans SemiBold"/>
                          <w:bCs/>
                          <w:color w:val="003399"/>
                          <w:sz w:val="24"/>
                          <w:szCs w:val="22"/>
                          <w:lang w:eastAsia="en-US"/>
                        </w:rPr>
                        <w:t xml:space="preserve">Note: </w:t>
                      </w:r>
                    </w:p>
                    <w:p w14:paraId="2DEBD1CC"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Where SCOs are used, some financial documents (e.g., invoices, proofs of payment) related to cost items are not checked, but the eligible costs are calculated according to a pre-defined method based on activities, outputs, results (lump sum), or as a fixed percentage of some other costs (flat rate).</w:t>
                      </w:r>
                    </w:p>
                  </w:txbxContent>
                </v:textbox>
                <w10:anchorlock/>
              </v:shape>
            </w:pict>
          </mc:Fallback>
        </mc:AlternateContent>
      </w:r>
    </w:p>
    <w:p w14:paraId="2CFEFFC8" w14:textId="4D3F7E94" w:rsidR="003A7F6E" w:rsidRPr="0072780D" w:rsidDel="00062D03" w:rsidRDefault="003A7F6E" w:rsidP="003C58C0">
      <w:pPr>
        <w:spacing w:line="360" w:lineRule="auto"/>
        <w:rPr>
          <w:rFonts w:ascii="Segoe UI" w:hAnsi="Segoe UI" w:cs="Segoe UI"/>
        </w:rPr>
      </w:pPr>
      <w:r w:rsidRPr="007A7BD1" w:rsidDel="00062D03">
        <w:t>A paid invoice or another accounting document of equal probative value e.g.</w:t>
      </w:r>
      <w:r w:rsidRPr="007A7BD1">
        <w:t>,</w:t>
      </w:r>
      <w:r w:rsidRPr="007A7BD1" w:rsidDel="00062D03">
        <w:t xml:space="preserve"> payroll, etc.</w:t>
      </w:r>
      <w:r w:rsidR="003114AF" w:rsidRPr="007A7BD1">
        <w:t>,</w:t>
      </w:r>
      <w:r w:rsidRPr="007A7BD1" w:rsidDel="00062D03">
        <w:t xml:space="preserve"> with the attached proof of payment is the proof of incurring real costs. The term ‘expenditure</w:t>
      </w:r>
      <w:r w:rsidRPr="0072780D" w:rsidDel="00062D03">
        <w:rPr>
          <w:rFonts w:ascii="Segoe UI" w:hAnsi="Segoe UI" w:cs="Segoe UI"/>
        </w:rPr>
        <w:t xml:space="preserve"> actually </w:t>
      </w:r>
      <w:r w:rsidRPr="007A7BD1" w:rsidDel="00062D03">
        <w:t>incurred’ should be understood as expenditure incurred in cash terms, i.e.</w:t>
      </w:r>
      <w:r w:rsidRPr="007A7BD1">
        <w:t>,</w:t>
      </w:r>
      <w:r w:rsidRPr="007A7BD1" w:rsidDel="00062D03">
        <w:t xml:space="preserve"> as disbursement of cash from a cash register or a bank account of the project partner.</w:t>
      </w:r>
      <w:r w:rsidRPr="0072780D" w:rsidDel="00062D03">
        <w:rPr>
          <w:rFonts w:ascii="Segoe UI" w:hAnsi="Segoe UI" w:cs="Segoe UI"/>
        </w:rPr>
        <w:t xml:space="preserve"> </w:t>
      </w:r>
    </w:p>
    <w:p w14:paraId="4DA76443" w14:textId="77777777" w:rsidR="003A7F6E" w:rsidRPr="007A7BD1" w:rsidRDefault="003A7F6E" w:rsidP="003C58C0">
      <w:pPr>
        <w:spacing w:line="360" w:lineRule="auto"/>
      </w:pPr>
      <w:r w:rsidRPr="007A7BD1">
        <w:t>The exceptions to the above rule include:</w:t>
      </w:r>
    </w:p>
    <w:p w14:paraId="29BE388E" w14:textId="6FC88FAD" w:rsidR="003A7F6E" w:rsidRPr="007A7BD1" w:rsidRDefault="00E35F33" w:rsidP="003C58C0">
      <w:pPr>
        <w:pStyle w:val="ListParagraph"/>
        <w:numPr>
          <w:ilvl w:val="0"/>
          <w:numId w:val="20"/>
        </w:numPr>
        <w:spacing w:line="360" w:lineRule="auto"/>
      </w:pPr>
      <w:r>
        <w:t>C</w:t>
      </w:r>
      <w:r w:rsidR="003A7F6E" w:rsidRPr="007A7BD1">
        <w:t xml:space="preserve">ontribution in-kind (the Programme allows only voluntary work as a contribution in-kind, </w:t>
      </w:r>
      <w:r w:rsidR="0098375F" w:rsidRPr="007A7BD1">
        <w:t>see</w:t>
      </w:r>
      <w:r w:rsidR="003A7F6E" w:rsidRPr="007A7BD1">
        <w:t xml:space="preserve"> </w:t>
      </w:r>
      <w:r w:rsidR="00EC20EC" w:rsidRPr="007A7BD1">
        <w:t xml:space="preserve">Chapter IV, </w:t>
      </w:r>
      <w:r w:rsidR="003A7F6E" w:rsidRPr="007A7BD1">
        <w:t>Section</w:t>
      </w:r>
      <w:r w:rsidR="00002555" w:rsidRPr="007A7BD1">
        <w:t xml:space="preserve"> </w:t>
      </w:r>
      <w:r w:rsidR="00CA3516" w:rsidRPr="007A7BD1">
        <w:t>2 Project Budget Structure</w:t>
      </w:r>
      <w:r w:rsidR="00F34921" w:rsidRPr="007A7BD1">
        <w:t>)</w:t>
      </w:r>
      <w:r>
        <w:t>.</w:t>
      </w:r>
    </w:p>
    <w:p w14:paraId="018C6DBE" w14:textId="45C56BF8" w:rsidR="003A7F6E" w:rsidRPr="007A7BD1" w:rsidRDefault="00E35F33" w:rsidP="003C58C0">
      <w:pPr>
        <w:pStyle w:val="ListParagraph"/>
        <w:numPr>
          <w:ilvl w:val="0"/>
          <w:numId w:val="20"/>
        </w:numPr>
        <w:spacing w:line="360" w:lineRule="auto"/>
      </w:pPr>
      <w:r>
        <w:t>E</w:t>
      </w:r>
      <w:r w:rsidR="003A7F6E" w:rsidRPr="007A7BD1">
        <w:t>xpenditure settled by simplified methods</w:t>
      </w:r>
      <w:r>
        <w:t>.</w:t>
      </w:r>
      <w:r w:rsidR="003A7F6E" w:rsidRPr="007A7BD1">
        <w:t xml:space="preserve"> </w:t>
      </w:r>
    </w:p>
    <w:p w14:paraId="035AB073" w14:textId="481DE1DB" w:rsidR="003A7F6E" w:rsidRPr="007A7BD1" w:rsidRDefault="00E35F33" w:rsidP="003C58C0">
      <w:pPr>
        <w:pStyle w:val="ListParagraph"/>
        <w:numPr>
          <w:ilvl w:val="0"/>
          <w:numId w:val="20"/>
        </w:numPr>
        <w:spacing w:line="360" w:lineRule="auto"/>
      </w:pPr>
      <w:r>
        <w:lastRenderedPageBreak/>
        <w:t>D</w:t>
      </w:r>
      <w:r w:rsidR="003A7F6E" w:rsidRPr="007A7BD1">
        <w:t>epreciation costs</w:t>
      </w:r>
      <w:r>
        <w:t>.</w:t>
      </w:r>
    </w:p>
    <w:p w14:paraId="492FD583" w14:textId="4ED8EC0A" w:rsidR="003A7F6E" w:rsidRPr="007A7BD1" w:rsidRDefault="00E35F33" w:rsidP="003C58C0">
      <w:pPr>
        <w:pStyle w:val="ListParagraph"/>
        <w:numPr>
          <w:ilvl w:val="0"/>
          <w:numId w:val="20"/>
        </w:numPr>
        <w:spacing w:line="360" w:lineRule="auto"/>
      </w:pPr>
      <w:r>
        <w:t>S</w:t>
      </w:r>
      <w:r w:rsidR="003A7F6E" w:rsidRPr="007A7BD1">
        <w:t>ettlements based on an internal debit note</w:t>
      </w:r>
      <w:r>
        <w:t>.</w:t>
      </w:r>
      <w:r w:rsidR="003A7F6E" w:rsidRPr="007A7BD1">
        <w:t xml:space="preserve"> </w:t>
      </w:r>
    </w:p>
    <w:p w14:paraId="5EEA812C" w14:textId="1D23D5B9" w:rsidR="00322525" w:rsidRDefault="00E35F33" w:rsidP="003C58C0">
      <w:pPr>
        <w:pStyle w:val="ListParagraph"/>
        <w:numPr>
          <w:ilvl w:val="0"/>
          <w:numId w:val="20"/>
        </w:numPr>
        <w:spacing w:line="360" w:lineRule="auto"/>
      </w:pPr>
      <w:r>
        <w:t>C</w:t>
      </w:r>
      <w:r w:rsidR="003A7F6E" w:rsidRPr="007A7BD1">
        <w:t>ompensation of amounts due</w:t>
      </w:r>
      <w:r w:rsidR="0039004A" w:rsidRPr="007A7BD1">
        <w:t xml:space="preserve"> (</w:t>
      </w:r>
      <w:r w:rsidR="0098375F" w:rsidRPr="007A7BD1">
        <w:t>see</w:t>
      </w:r>
      <w:r w:rsidR="0039004A" w:rsidRPr="007A7BD1">
        <w:t xml:space="preserve"> the </w:t>
      </w:r>
      <w:r w:rsidR="00F5531F" w:rsidRPr="007A7BD1">
        <w:t>e</w:t>
      </w:r>
      <w:r w:rsidR="0039004A" w:rsidRPr="007A7BD1">
        <w:t>xample below)</w:t>
      </w:r>
      <w:r w:rsidR="003A7F6E" w:rsidRPr="007A7BD1">
        <w:t xml:space="preserve">. </w:t>
      </w:r>
    </w:p>
    <w:p w14:paraId="334A547B" w14:textId="076AFB03" w:rsidR="00322525" w:rsidRDefault="00322525" w:rsidP="003C58C0">
      <w:pPr>
        <w:spacing w:line="360" w:lineRule="auto"/>
        <w:rPr>
          <w:rFonts w:eastAsia="Open Sans" w:cs="Open Sans"/>
          <w:sz w:val="20"/>
          <w:szCs w:val="20"/>
        </w:rPr>
      </w:pPr>
      <w:r>
        <w:rPr>
          <w:noProof/>
        </w:rPr>
        <mc:AlternateContent>
          <mc:Choice Requires="wps">
            <w:drawing>
              <wp:inline distT="0" distB="0" distL="0" distR="0" wp14:anchorId="08766AA0" wp14:editId="0B64F734">
                <wp:extent cx="5751830" cy="2133600"/>
                <wp:effectExtent l="0" t="0" r="20320" b="19050"/>
                <wp:docPr id="1774304439"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2133600"/>
                        </a:xfrm>
                        <a:prstGeom prst="rect">
                          <a:avLst/>
                        </a:prstGeom>
                        <a:ln w="12700">
                          <a:solidFill>
                            <a:srgbClr val="003399"/>
                          </a:solidFill>
                          <a:prstDash val="solid"/>
                        </a:ln>
                      </wps:spPr>
                      <wps:txbx>
                        <w:txbxContent>
                          <w:p w14:paraId="18253510" w14:textId="273C41F1" w:rsidR="007E167B" w:rsidRPr="001E4FF4" w:rsidRDefault="007E167B" w:rsidP="00805C22">
                            <w:pPr>
                              <w:pStyle w:val="BodyText"/>
                              <w:rPr>
                                <w:rFonts w:ascii="Open Sans SemiBold" w:eastAsia="Open Sans SemiBold" w:hAnsi="Open Sans SemiBold" w:cs="Open Sans SemiBold"/>
                                <w:bCs/>
                                <w:color w:val="003399"/>
                                <w:sz w:val="24"/>
                                <w:szCs w:val="22"/>
                                <w:lang w:eastAsia="en-US"/>
                              </w:rPr>
                            </w:pPr>
                            <w:r w:rsidRPr="001E4FF4">
                              <w:rPr>
                                <w:rFonts w:ascii="Open Sans SemiBold" w:eastAsia="Open Sans SemiBold" w:hAnsi="Open Sans SemiBold" w:cs="Open Sans SemiBold"/>
                                <w:bCs/>
                                <w:color w:val="003399"/>
                                <w:sz w:val="24"/>
                                <w:szCs w:val="22"/>
                                <w:lang w:eastAsia="en-US"/>
                              </w:rPr>
                              <w:t xml:space="preserve">Example: </w:t>
                            </w:r>
                          </w:p>
                          <w:p w14:paraId="6671647A" w14:textId="2C7E833A" w:rsidR="007E167B" w:rsidRPr="001E4FF4" w:rsidRDefault="007E167B" w:rsidP="00805C22">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 xml:space="preserve">the project partner has provided services outside the project to a contractor (invoice A) in the amount of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 xml:space="preserve">800 (the contractor owes this amount to the partner). As part of the project, the contractor has provided external services and the project partner owes the contractor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1</w:t>
                            </w:r>
                            <w:r w:rsidR="00A61615" w:rsidRPr="001E4FF4">
                              <w:rPr>
                                <w:rFonts w:ascii="Open Sans" w:eastAsiaTheme="minorHAnsi" w:hAnsi="Open Sans" w:cstheme="minorBidi"/>
                                <w:color w:val="auto"/>
                                <w:sz w:val="24"/>
                                <w:szCs w:val="22"/>
                                <w:lang w:eastAsia="en-US"/>
                              </w:rPr>
                              <w:t>,</w:t>
                            </w:r>
                            <w:r w:rsidRPr="001E4FF4">
                              <w:rPr>
                                <w:rFonts w:ascii="Open Sans" w:eastAsiaTheme="minorHAnsi" w:hAnsi="Open Sans" w:cstheme="minorBidi"/>
                                <w:color w:val="auto"/>
                                <w:sz w:val="24"/>
                                <w:szCs w:val="22"/>
                                <w:lang w:eastAsia="en-US"/>
                              </w:rPr>
                              <w:t>000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 xml:space="preserve">As a result (if it is allowed according to the national regulations), the project partner can pay the contractor only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200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 xml:space="preserve">but can still claim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1</w:t>
                            </w:r>
                            <w:r w:rsidR="00A61615" w:rsidRPr="001E4FF4">
                              <w:rPr>
                                <w:rFonts w:ascii="Open Sans" w:eastAsiaTheme="minorHAnsi" w:hAnsi="Open Sans" w:cstheme="minorBidi"/>
                                <w:color w:val="auto"/>
                                <w:sz w:val="24"/>
                                <w:szCs w:val="22"/>
                                <w:lang w:eastAsia="en-US"/>
                              </w:rPr>
                              <w:t>,</w:t>
                            </w:r>
                            <w:r w:rsidRPr="001E4FF4">
                              <w:rPr>
                                <w:rFonts w:ascii="Open Sans" w:eastAsiaTheme="minorHAnsi" w:hAnsi="Open Sans" w:cstheme="minorBidi"/>
                                <w:color w:val="auto"/>
                                <w:sz w:val="24"/>
                                <w:szCs w:val="22"/>
                                <w:lang w:eastAsia="en-US"/>
                              </w:rPr>
                              <w:t>000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200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of actual payment and</w:t>
                            </w:r>
                            <w:r w:rsidR="00A61615" w:rsidRPr="001E4FF4">
                              <w:rPr>
                                <w:rFonts w:ascii="Open Sans" w:eastAsiaTheme="minorHAnsi" w:hAnsi="Open Sans" w:cstheme="minorBidi"/>
                                <w:color w:val="auto"/>
                                <w:sz w:val="24"/>
                                <w:szCs w:val="22"/>
                                <w:lang w:eastAsia="en-US"/>
                              </w:rPr>
                              <w:t xml:space="preserve"> EUR</w:t>
                            </w:r>
                            <w:r w:rsidRPr="001E4FF4">
                              <w:rPr>
                                <w:rFonts w:ascii="Open Sans" w:eastAsiaTheme="minorHAnsi" w:hAnsi="Open Sans" w:cstheme="minorBidi"/>
                                <w:color w:val="auto"/>
                                <w:sz w:val="24"/>
                                <w:szCs w:val="22"/>
                                <w:lang w:eastAsia="en-US"/>
                              </w:rPr>
                              <w:t xml:space="preserve"> 800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of compensation of amounts due) as reimbursement from the ERDF.</w:t>
                            </w:r>
                          </w:p>
                        </w:txbxContent>
                      </wps:txbx>
                      <wps:bodyPr wrap="square" lIns="0" tIns="0" rIns="0" bIns="0" rtlCol="0">
                        <a:noAutofit/>
                      </wps:bodyPr>
                    </wps:wsp>
                  </a:graphicData>
                </a:graphic>
              </wp:inline>
            </w:drawing>
          </mc:Choice>
          <mc:Fallback>
            <w:pict>
              <v:shape w14:anchorId="08766AA0" id="_x0000_s1051" type="#_x0000_t202" style="width:452.9pt;height:1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" filled="f" strokecolor="#039" strokeweight="1pt">
                <v:path arrowok="t"/>
                <v:textbox inset="0,0,0,0">
                  <w:txbxContent>
                    <w:p w14:paraId="18253510" w14:textId="273C41F1" w:rsidR="007E167B" w:rsidRPr="001E4FF4" w:rsidRDefault="007E167B" w:rsidP="00805C22">
                      <w:pPr>
                        <w:pStyle w:val="BodyText"/>
                        <w:rPr>
                          <w:rFonts w:ascii="Open Sans SemiBold" w:eastAsia="Open Sans SemiBold" w:hAnsi="Open Sans SemiBold" w:cs="Open Sans SemiBold"/>
                          <w:bCs/>
                          <w:color w:val="003399"/>
                          <w:sz w:val="24"/>
                          <w:szCs w:val="22"/>
                          <w:lang w:eastAsia="en-US"/>
                        </w:rPr>
                      </w:pPr>
                      <w:r w:rsidRPr="001E4FF4">
                        <w:rPr>
                          <w:rFonts w:ascii="Open Sans SemiBold" w:eastAsia="Open Sans SemiBold" w:hAnsi="Open Sans SemiBold" w:cs="Open Sans SemiBold"/>
                          <w:bCs/>
                          <w:color w:val="003399"/>
                          <w:sz w:val="24"/>
                          <w:szCs w:val="22"/>
                          <w:lang w:eastAsia="en-US"/>
                        </w:rPr>
                        <w:t xml:space="preserve">Example: </w:t>
                      </w:r>
                    </w:p>
                    <w:p w14:paraId="6671647A" w14:textId="2C7E833A" w:rsidR="007E167B" w:rsidRPr="001E4FF4" w:rsidRDefault="007E167B" w:rsidP="00805C22">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 xml:space="preserve">the project partner has provided services outside the project to a contractor (invoice A) in the amount of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 xml:space="preserve">800 (the contractor owes this amount to the partner). As part of the project, the contractor has provided external services and the project partner owes the contractor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1</w:t>
                      </w:r>
                      <w:r w:rsidR="00A61615" w:rsidRPr="001E4FF4">
                        <w:rPr>
                          <w:rFonts w:ascii="Open Sans" w:eastAsiaTheme="minorHAnsi" w:hAnsi="Open Sans" w:cstheme="minorBidi"/>
                          <w:color w:val="auto"/>
                          <w:sz w:val="24"/>
                          <w:szCs w:val="22"/>
                          <w:lang w:eastAsia="en-US"/>
                        </w:rPr>
                        <w:t>,</w:t>
                      </w:r>
                      <w:r w:rsidRPr="001E4FF4">
                        <w:rPr>
                          <w:rFonts w:ascii="Open Sans" w:eastAsiaTheme="minorHAnsi" w:hAnsi="Open Sans" w:cstheme="minorBidi"/>
                          <w:color w:val="auto"/>
                          <w:sz w:val="24"/>
                          <w:szCs w:val="22"/>
                          <w:lang w:eastAsia="en-US"/>
                        </w:rPr>
                        <w:t>000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 xml:space="preserve">As a result (if it is allowed according to the national regulations), the project partner can pay the contractor only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200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 xml:space="preserve">but can still claim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1</w:t>
                      </w:r>
                      <w:r w:rsidR="00A61615" w:rsidRPr="001E4FF4">
                        <w:rPr>
                          <w:rFonts w:ascii="Open Sans" w:eastAsiaTheme="minorHAnsi" w:hAnsi="Open Sans" w:cstheme="minorBidi"/>
                          <w:color w:val="auto"/>
                          <w:sz w:val="24"/>
                          <w:szCs w:val="22"/>
                          <w:lang w:eastAsia="en-US"/>
                        </w:rPr>
                        <w:t>,</w:t>
                      </w:r>
                      <w:r w:rsidRPr="001E4FF4">
                        <w:rPr>
                          <w:rFonts w:ascii="Open Sans" w:eastAsiaTheme="minorHAnsi" w:hAnsi="Open Sans" w:cstheme="minorBidi"/>
                          <w:color w:val="auto"/>
                          <w:sz w:val="24"/>
                          <w:szCs w:val="22"/>
                          <w:lang w:eastAsia="en-US"/>
                        </w:rPr>
                        <w:t>000 (</w:t>
                      </w:r>
                      <w:r w:rsidR="00A61615" w:rsidRPr="001E4FF4">
                        <w:rPr>
                          <w:rFonts w:ascii="Open Sans" w:eastAsiaTheme="minorHAnsi" w:hAnsi="Open Sans" w:cstheme="minorBidi"/>
                          <w:color w:val="auto"/>
                          <w:sz w:val="24"/>
                          <w:szCs w:val="22"/>
                          <w:lang w:eastAsia="en-US"/>
                        </w:rPr>
                        <w:t xml:space="preserve">EUR </w:t>
                      </w:r>
                      <w:r w:rsidRPr="001E4FF4">
                        <w:rPr>
                          <w:rFonts w:ascii="Open Sans" w:eastAsiaTheme="minorHAnsi" w:hAnsi="Open Sans" w:cstheme="minorBidi"/>
                          <w:color w:val="auto"/>
                          <w:sz w:val="24"/>
                          <w:szCs w:val="22"/>
                          <w:lang w:eastAsia="en-US"/>
                        </w:rPr>
                        <w:t>200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of actual payment and</w:t>
                      </w:r>
                      <w:r w:rsidR="00A61615" w:rsidRPr="001E4FF4">
                        <w:rPr>
                          <w:rFonts w:ascii="Open Sans" w:eastAsiaTheme="minorHAnsi" w:hAnsi="Open Sans" w:cstheme="minorBidi"/>
                          <w:color w:val="auto"/>
                          <w:sz w:val="24"/>
                          <w:szCs w:val="22"/>
                          <w:lang w:eastAsia="en-US"/>
                        </w:rPr>
                        <w:t xml:space="preserve"> EUR</w:t>
                      </w:r>
                      <w:r w:rsidRPr="001E4FF4">
                        <w:rPr>
                          <w:rFonts w:ascii="Open Sans" w:eastAsiaTheme="minorHAnsi" w:hAnsi="Open Sans" w:cstheme="minorBidi"/>
                          <w:color w:val="auto"/>
                          <w:sz w:val="24"/>
                          <w:szCs w:val="22"/>
                          <w:lang w:eastAsia="en-US"/>
                        </w:rPr>
                        <w:t xml:space="preserve"> 800</w:t>
                      </w:r>
                      <w:r w:rsidR="00A61615" w:rsidRPr="001E4FF4">
                        <w:rPr>
                          <w:rFonts w:ascii="Open Sans" w:eastAsiaTheme="minorHAnsi" w:hAnsi="Open Sans" w:cstheme="minorBidi"/>
                          <w:color w:val="auto"/>
                          <w:sz w:val="24"/>
                          <w:szCs w:val="22"/>
                          <w:lang w:eastAsia="en-US"/>
                        </w:rPr>
                        <w:t xml:space="preserve"> </w:t>
                      </w:r>
                      <w:r w:rsidRPr="001E4FF4">
                        <w:rPr>
                          <w:rFonts w:ascii="Open Sans" w:eastAsiaTheme="minorHAnsi" w:hAnsi="Open Sans" w:cstheme="minorBidi"/>
                          <w:color w:val="auto"/>
                          <w:sz w:val="24"/>
                          <w:szCs w:val="22"/>
                          <w:lang w:eastAsia="en-US"/>
                        </w:rPr>
                        <w:t>of compensation of amounts due) as reimbursement from the ERDF.</w:t>
                      </w:r>
                    </w:p>
                  </w:txbxContent>
                </v:textbox>
                <w10:anchorlock/>
              </v:shape>
            </w:pict>
          </mc:Fallback>
        </mc:AlternateContent>
      </w:r>
    </w:p>
    <w:p w14:paraId="24AEA312" w14:textId="0AF83A89" w:rsidR="003A7F6E" w:rsidRPr="007E167B" w:rsidRDefault="003A7F6E" w:rsidP="003C58C0">
      <w:pPr>
        <w:spacing w:line="360" w:lineRule="auto"/>
      </w:pPr>
      <w:r w:rsidRPr="007E167B">
        <w:t xml:space="preserve">The eligibility of incurred expenditure is assessed in line with the </w:t>
      </w:r>
      <w:r w:rsidRPr="007E167B">
        <w:rPr>
          <w:rFonts w:ascii="Open Sans SemiBold" w:eastAsia="Open Sans SemiBold" w:hAnsi="Open Sans SemiBold" w:cs="Open Sans SemiBold"/>
          <w:bCs/>
          <w:color w:val="003399"/>
        </w:rPr>
        <w:t>eligibility rules</w:t>
      </w:r>
      <w:r w:rsidRPr="007E167B">
        <w:t xml:space="preserve"> </w:t>
      </w:r>
      <w:r w:rsidRPr="00227A3A">
        <w:rPr>
          <w:rFonts w:ascii="Open Sans SemiBold" w:eastAsia="Open Sans SemiBold" w:hAnsi="Open Sans SemiBold" w:cs="Open Sans SemiBold"/>
          <w:bCs/>
          <w:color w:val="003399"/>
        </w:rPr>
        <w:t>in force on the date</w:t>
      </w:r>
      <w:r w:rsidRPr="007E167B">
        <w:t xml:space="preserve"> when the expenditure was incurred with the following exceptions:</w:t>
      </w:r>
    </w:p>
    <w:p w14:paraId="5AB2AEFF" w14:textId="62CD954F" w:rsidR="003A7F6E" w:rsidRPr="008D367C" w:rsidRDefault="00E35F33" w:rsidP="003C58C0">
      <w:pPr>
        <w:pStyle w:val="ListParagraph"/>
        <w:numPr>
          <w:ilvl w:val="0"/>
          <w:numId w:val="22"/>
        </w:numPr>
        <w:spacing w:line="360" w:lineRule="auto"/>
      </w:pPr>
      <w:r>
        <w:t>A</w:t>
      </w:r>
      <w:r w:rsidR="003A7F6E" w:rsidRPr="008D367C">
        <w:t xml:space="preserve"> contract concluded as a result of the proceedings initiated by the partner is assessed according to the rules in force on the date of the start of those proceedings</w:t>
      </w:r>
      <w:r>
        <w:t>.</w:t>
      </w:r>
    </w:p>
    <w:p w14:paraId="13F05517" w14:textId="48443D40" w:rsidR="003A7F6E" w:rsidRPr="008D367C" w:rsidRDefault="00E35F33" w:rsidP="003C58C0">
      <w:pPr>
        <w:pStyle w:val="ListParagraph"/>
        <w:numPr>
          <w:ilvl w:val="0"/>
          <w:numId w:val="22"/>
        </w:numPr>
        <w:spacing w:line="360" w:lineRule="auto"/>
      </w:pPr>
      <w:r>
        <w:t xml:space="preserve">If </w:t>
      </w:r>
      <w:r w:rsidR="003A7F6E" w:rsidRPr="008D367C">
        <w:t xml:space="preserve">the Programme eligibility rules change to more </w:t>
      </w:r>
      <w:r w:rsidR="001F1C10" w:rsidRPr="008D367C">
        <w:t>favorable</w:t>
      </w:r>
      <w:r w:rsidR="003A7F6E" w:rsidRPr="008D367C">
        <w:t xml:space="preserve"> to the project partner</w:t>
      </w:r>
      <w:r w:rsidR="001F1C10" w:rsidRPr="008D367C">
        <w:t>,</w:t>
      </w:r>
      <w:r w:rsidR="003A7F6E" w:rsidRPr="008D367C">
        <w:t xml:space="preserve"> while the expenditure is not yet certified by the First Level Controller, the new</w:t>
      </w:r>
      <w:r w:rsidR="00ED6514" w:rsidRPr="008D367C">
        <w:t>,</w:t>
      </w:r>
      <w:r w:rsidR="003A7F6E" w:rsidRPr="008D367C">
        <w:t xml:space="preserve"> more </w:t>
      </w:r>
      <w:r w:rsidR="001F1C10" w:rsidRPr="008D367C">
        <w:t>favorable</w:t>
      </w:r>
      <w:r w:rsidR="003A7F6E" w:rsidRPr="008D367C">
        <w:t xml:space="preserve"> rule</w:t>
      </w:r>
      <w:r w:rsidR="001F1C10" w:rsidRPr="008D367C">
        <w:t>s</w:t>
      </w:r>
      <w:r w:rsidR="003A7F6E" w:rsidRPr="008D367C">
        <w:t xml:space="preserve"> </w:t>
      </w:r>
      <w:r w:rsidR="001F1C10" w:rsidRPr="008D367C">
        <w:t>apply</w:t>
      </w:r>
      <w:r w:rsidR="003A7F6E" w:rsidRPr="008D367C">
        <w:t>.</w:t>
      </w:r>
    </w:p>
    <w:p w14:paraId="05FD0EC7" w14:textId="77777777" w:rsidR="003A7F6E" w:rsidRPr="001E4FF4" w:rsidRDefault="003A7F6E"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Dates of the expenditure</w:t>
      </w:r>
    </w:p>
    <w:p w14:paraId="582C9D57" w14:textId="42BAE3DC" w:rsidR="003A7F6E" w:rsidRPr="008D367C" w:rsidRDefault="003A7F6E" w:rsidP="003C58C0">
      <w:pPr>
        <w:spacing w:line="360" w:lineRule="auto"/>
      </w:pPr>
      <w:r w:rsidRPr="008D367C">
        <w:t xml:space="preserve">The date of expenditure should be defined in accordance with national rules. </w:t>
      </w:r>
      <w:r w:rsidR="00ED6514" w:rsidRPr="008D367C">
        <w:t>For</w:t>
      </w:r>
      <w:r w:rsidRPr="008D367C">
        <w:t xml:space="preserve"> questions in relation to the date of </w:t>
      </w:r>
      <w:r w:rsidR="00F5531F" w:rsidRPr="008D367C">
        <w:t>incurring an</w:t>
      </w:r>
      <w:r w:rsidRPr="008D367C">
        <w:t xml:space="preserve"> expenditure, project partners are strongly advised to contact their First Level Controller.</w:t>
      </w:r>
    </w:p>
    <w:p w14:paraId="429D0386" w14:textId="77777777" w:rsidR="003A7F6E" w:rsidRPr="001E4FF4" w:rsidRDefault="003A7F6E"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Description of an accounting document</w:t>
      </w:r>
    </w:p>
    <w:p w14:paraId="324A1F53" w14:textId="73B04C0E" w:rsidR="008F2BAD" w:rsidRPr="00AA562B" w:rsidRDefault="003A7F6E" w:rsidP="003C58C0">
      <w:pPr>
        <w:spacing w:line="360" w:lineRule="auto"/>
      </w:pPr>
      <w:r w:rsidRPr="008D367C">
        <w:lastRenderedPageBreak/>
        <w:t xml:space="preserve">Accounting documents related to project implementation should be provided in accordance with national rules and must </w:t>
      </w:r>
      <w:r w:rsidR="00F75B34" w:rsidRPr="008D367C">
        <w:t xml:space="preserve">provide a means to </w:t>
      </w:r>
      <w:r w:rsidRPr="008D367C">
        <w:t>attribut</w:t>
      </w:r>
      <w:r w:rsidR="00F75B34" w:rsidRPr="008D367C">
        <w:t>e</w:t>
      </w:r>
      <w:r w:rsidRPr="008D367C">
        <w:t xml:space="preserve"> the expenditure to the project.</w:t>
      </w:r>
    </w:p>
    <w:p w14:paraId="4D5FC2B5" w14:textId="4F4C0434" w:rsidR="003A7F6E" w:rsidRPr="001E4FF4" w:rsidRDefault="003A7F6E"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Separate accounting records</w:t>
      </w:r>
    </w:p>
    <w:p w14:paraId="6DBD6847" w14:textId="77777777" w:rsidR="003A7F6E" w:rsidRPr="008D367C" w:rsidRDefault="003A7F6E" w:rsidP="003C58C0">
      <w:pPr>
        <w:spacing w:line="360" w:lineRule="auto"/>
      </w:pPr>
      <w:r w:rsidRPr="008D367C">
        <w:t>Pursuant to subsidy contracts, the project partners have an obligation to maintain a separate accounting system or use a separate accounting code in the existing accounting IT system to</w:t>
      </w:r>
      <w:r w:rsidRPr="0072780D">
        <w:rPr>
          <w:rFonts w:ascii="Segoe UI" w:hAnsi="Segoe UI" w:cs="Segoe UI"/>
        </w:rPr>
        <w:t xml:space="preserve"> enable </w:t>
      </w:r>
      <w:r w:rsidRPr="008D367C">
        <w:t>identification of all transactions under the project (it does not refer to expenditure settled by the use of the SCOs).</w:t>
      </w:r>
    </w:p>
    <w:p w14:paraId="1656536C" w14:textId="23C0E594" w:rsidR="003A7F6E" w:rsidRPr="008D367C" w:rsidRDefault="003A7F6E" w:rsidP="003C58C0">
      <w:pPr>
        <w:spacing w:line="360" w:lineRule="auto"/>
      </w:pPr>
      <w:r w:rsidRPr="008D367C">
        <w:t xml:space="preserve">The accounting records of expenditure incurred under the project should be kept in line with applicable national regulations and rules laid down in the accounting policy of the project partner in a way that will make it possible to confirm the records with the original accounting documents. </w:t>
      </w:r>
    </w:p>
    <w:p w14:paraId="08CB11CE" w14:textId="77777777" w:rsidR="003A7F6E" w:rsidRPr="001E4FF4" w:rsidRDefault="003A7F6E"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Advance payments</w:t>
      </w:r>
    </w:p>
    <w:p w14:paraId="7176CED2" w14:textId="7CEE9597" w:rsidR="003A7F6E" w:rsidRPr="008D367C" w:rsidRDefault="003A7F6E" w:rsidP="003C58C0">
      <w:pPr>
        <w:spacing w:line="360" w:lineRule="auto"/>
      </w:pPr>
      <w:r w:rsidRPr="008D367C">
        <w:t>Advance payments (for a specific purpose) made to the contractor and based on an invoice</w:t>
      </w:r>
      <w:r w:rsidR="00D07B80" w:rsidRPr="008D367C">
        <w:t>/</w:t>
      </w:r>
      <w:r w:rsidR="00E35F33">
        <w:t xml:space="preserve"> </w:t>
      </w:r>
      <w:r w:rsidRPr="008D367C">
        <w:t xml:space="preserve">other document of equal probative value may be deemed eligible if they were paid in line with the contract between the project partner and the contractor and pursuant to the public procurement law. </w:t>
      </w:r>
    </w:p>
    <w:p w14:paraId="75E936F6" w14:textId="702E87D7" w:rsidR="003A7F6E" w:rsidRPr="001E4FF4" w:rsidRDefault="003A7F6E"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Double financing</w:t>
      </w:r>
    </w:p>
    <w:p w14:paraId="441E3AEA" w14:textId="6CD9AE0C" w:rsidR="0072780D" w:rsidRPr="008D367C" w:rsidRDefault="0072780D" w:rsidP="003C58C0">
      <w:pPr>
        <w:spacing w:line="360" w:lineRule="auto"/>
      </w:pPr>
      <w:r w:rsidRPr="008D367C">
        <w:t>Double financing of expenditure is prohibited, in particular:</w:t>
      </w:r>
    </w:p>
    <w:p w14:paraId="1E8952E4" w14:textId="2BA85823" w:rsidR="0072780D" w:rsidRPr="008D367C" w:rsidRDefault="00495088" w:rsidP="003C58C0">
      <w:pPr>
        <w:pStyle w:val="ListParagraph"/>
        <w:numPr>
          <w:ilvl w:val="0"/>
          <w:numId w:val="22"/>
        </w:numPr>
        <w:spacing w:line="360" w:lineRule="auto"/>
      </w:pPr>
      <w:r>
        <w:t>C</w:t>
      </w:r>
      <w:r w:rsidR="0072780D" w:rsidRPr="008D367C">
        <w:t>laiming the same expenditure under different projects co-financed from EU funds</w:t>
      </w:r>
      <w:r>
        <w:t>.</w:t>
      </w:r>
    </w:p>
    <w:p w14:paraId="153DA59C" w14:textId="4F569BB2" w:rsidR="0072780D" w:rsidRPr="008D367C" w:rsidRDefault="00495088" w:rsidP="003C58C0">
      <w:pPr>
        <w:pStyle w:val="ListParagraph"/>
        <w:numPr>
          <w:ilvl w:val="0"/>
          <w:numId w:val="22"/>
        </w:numPr>
        <w:spacing w:line="360" w:lineRule="auto"/>
      </w:pPr>
      <w:r>
        <w:t>R</w:t>
      </w:r>
      <w:r w:rsidR="0072780D" w:rsidRPr="008D367C">
        <w:t xml:space="preserve">eceiving non-repayable financial assistance from several (national, EU or other) sources for expenditure under a given project or a part of the project in the total amount exceeding 100% of </w:t>
      </w:r>
      <w:r w:rsidR="00680016" w:rsidRPr="008D367C">
        <w:t xml:space="preserve">the </w:t>
      </w:r>
      <w:r w:rsidR="0072780D" w:rsidRPr="008D367C">
        <w:t xml:space="preserve">eligible expenditure of the project or </w:t>
      </w:r>
      <w:r w:rsidR="00680016" w:rsidRPr="008D367C">
        <w:t>the</w:t>
      </w:r>
      <w:r w:rsidR="0072780D" w:rsidRPr="008D367C">
        <w:t xml:space="preserve"> part of the project</w:t>
      </w:r>
      <w:r>
        <w:t>.</w:t>
      </w:r>
    </w:p>
    <w:p w14:paraId="79070EA9" w14:textId="4103BD60" w:rsidR="0072780D" w:rsidRPr="008D367C" w:rsidRDefault="00495088" w:rsidP="003C58C0">
      <w:pPr>
        <w:pStyle w:val="ListParagraph"/>
        <w:numPr>
          <w:ilvl w:val="0"/>
          <w:numId w:val="22"/>
        </w:numPr>
        <w:spacing w:line="360" w:lineRule="auto"/>
      </w:pPr>
      <w:r>
        <w:lastRenderedPageBreak/>
        <w:t>P</w:t>
      </w:r>
      <w:r w:rsidR="0072780D" w:rsidRPr="008D367C">
        <w:t>urchasing a fixed asset with co-financing from the EU funds and then claiming the depreciation costs of the fixed asset under the same project or under other projects co-financed from EU funds</w:t>
      </w:r>
      <w:r>
        <w:t>.</w:t>
      </w:r>
    </w:p>
    <w:p w14:paraId="6DCD8726" w14:textId="1D91F94A" w:rsidR="0072780D" w:rsidRPr="008D367C" w:rsidRDefault="00495088" w:rsidP="003C58C0">
      <w:pPr>
        <w:pStyle w:val="ListParagraph"/>
        <w:numPr>
          <w:ilvl w:val="0"/>
          <w:numId w:val="22"/>
        </w:numPr>
        <w:spacing w:line="360" w:lineRule="auto"/>
      </w:pPr>
      <w:r>
        <w:t>C</w:t>
      </w:r>
      <w:r w:rsidR="0072780D" w:rsidRPr="008D367C">
        <w:t xml:space="preserve">laiming expenditure financed from grants in a given project which have already been covered or are planned to be covered by </w:t>
      </w:r>
      <w:r w:rsidR="00680016" w:rsidRPr="008D367C">
        <w:t xml:space="preserve">a </w:t>
      </w:r>
      <w:r w:rsidR="0072780D" w:rsidRPr="008D367C">
        <w:t xml:space="preserve">received loan or by </w:t>
      </w:r>
      <w:r w:rsidR="00680016" w:rsidRPr="008D367C">
        <w:t xml:space="preserve">a </w:t>
      </w:r>
      <w:r w:rsidR="0072780D" w:rsidRPr="008D367C">
        <w:t xml:space="preserve">commercial loan obtained thanks to the Structural Funds warranty/guarantee in the total amount exceeding 100% of </w:t>
      </w:r>
      <w:r w:rsidR="00680016" w:rsidRPr="008D367C">
        <w:t xml:space="preserve">the </w:t>
      </w:r>
      <w:r w:rsidR="0072780D" w:rsidRPr="008D367C">
        <w:t>eligible expenditure of this project</w:t>
      </w:r>
      <w:r>
        <w:t>.</w:t>
      </w:r>
    </w:p>
    <w:p w14:paraId="75F6F7B2" w14:textId="1B24D94F" w:rsidR="0072780D" w:rsidRPr="008D367C" w:rsidRDefault="00495088" w:rsidP="003C58C0">
      <w:pPr>
        <w:pStyle w:val="ListParagraph"/>
        <w:numPr>
          <w:ilvl w:val="0"/>
          <w:numId w:val="22"/>
        </w:numPr>
        <w:spacing w:line="360" w:lineRule="auto"/>
      </w:pPr>
      <w:r>
        <w:t>C</w:t>
      </w:r>
      <w:r w:rsidR="0072780D" w:rsidRPr="008D367C">
        <w:t xml:space="preserve">laiming real costs for those categories that are exclusively covered by </w:t>
      </w:r>
      <w:r w:rsidR="00680016" w:rsidRPr="008D367C">
        <w:t xml:space="preserve">a </w:t>
      </w:r>
      <w:r w:rsidR="0072780D" w:rsidRPr="008D367C">
        <w:t>flat rate or lump sum (preparation costs</w:t>
      </w:r>
      <w:r w:rsidR="00BF52DB">
        <w:t xml:space="preserve"> and closure costs</w:t>
      </w:r>
      <w:r w:rsidR="0072780D" w:rsidRPr="008D367C">
        <w:t>).</w:t>
      </w:r>
    </w:p>
    <w:p w14:paraId="704147EF" w14:textId="33A77281" w:rsidR="003A7F6E" w:rsidRPr="008D367C" w:rsidRDefault="00680016" w:rsidP="003C58C0">
      <w:pPr>
        <w:spacing w:line="360" w:lineRule="auto"/>
      </w:pPr>
      <w:bookmarkStart w:id="73" w:name="IV2"/>
      <w:bookmarkEnd w:id="71"/>
      <w:r w:rsidRPr="008D367C">
        <w:t>When</w:t>
      </w:r>
      <w:r w:rsidR="003A7F6E" w:rsidRPr="008D367C">
        <w:t xml:space="preserve"> using financial instruments under any Cohesion policy programme, the partners will declare that they will avoid double financing, will not use financial instruments to pre-finance grants and will not use grants to reimburse support received from financial instruments in a given project.</w:t>
      </w:r>
    </w:p>
    <w:p w14:paraId="13719BCE" w14:textId="2F28680F" w:rsidR="003A7F6E" w:rsidRPr="008D367C" w:rsidRDefault="003A7F6E" w:rsidP="003C58C0">
      <w:pPr>
        <w:spacing w:line="360" w:lineRule="auto"/>
      </w:pPr>
      <w:r w:rsidRPr="008D367C">
        <w:t>Example</w:t>
      </w:r>
      <w:r w:rsidR="00680016" w:rsidRPr="008D367C">
        <w:t>s</w:t>
      </w:r>
      <w:r w:rsidRPr="008D367C">
        <w:t xml:space="preserve"> of ineligible expenditure in the Programme:</w:t>
      </w:r>
    </w:p>
    <w:p w14:paraId="0872EA9B" w14:textId="5733C66A" w:rsidR="003A7F6E" w:rsidRPr="008D367C" w:rsidRDefault="00495088" w:rsidP="003C58C0">
      <w:pPr>
        <w:pStyle w:val="ListParagraph"/>
        <w:numPr>
          <w:ilvl w:val="0"/>
          <w:numId w:val="22"/>
        </w:numPr>
        <w:spacing w:line="360" w:lineRule="auto"/>
      </w:pPr>
      <w:r>
        <w:t>F</w:t>
      </w:r>
      <w:r w:rsidR="003A7F6E" w:rsidRPr="008D367C">
        <w:t>ines, financial penalties and expenditure on legal disputes and litigation (including expenditure for preparing litigation and for legal services)</w:t>
      </w:r>
      <w:r>
        <w:t>.</w:t>
      </w:r>
    </w:p>
    <w:p w14:paraId="3B9EFBB3" w14:textId="2582F045" w:rsidR="003A7F6E" w:rsidRPr="008D367C" w:rsidRDefault="00495088" w:rsidP="003C58C0">
      <w:pPr>
        <w:pStyle w:val="ListParagraph"/>
        <w:numPr>
          <w:ilvl w:val="0"/>
          <w:numId w:val="22"/>
        </w:numPr>
        <w:spacing w:line="360" w:lineRule="auto"/>
      </w:pPr>
      <w:r>
        <w:t>C</w:t>
      </w:r>
      <w:r w:rsidR="003A7F6E" w:rsidRPr="008D367C">
        <w:t>ost of gifts</w:t>
      </w:r>
      <w:r>
        <w:t>.</w:t>
      </w:r>
    </w:p>
    <w:p w14:paraId="5D2ACF21" w14:textId="10814F90" w:rsidR="003A7F6E" w:rsidRPr="008D367C" w:rsidRDefault="00495088" w:rsidP="003C58C0">
      <w:pPr>
        <w:pStyle w:val="ListParagraph"/>
        <w:numPr>
          <w:ilvl w:val="0"/>
          <w:numId w:val="22"/>
        </w:numPr>
        <w:spacing w:line="360" w:lineRule="auto"/>
      </w:pPr>
      <w:r>
        <w:t>C</w:t>
      </w:r>
      <w:r w:rsidR="003A7F6E" w:rsidRPr="008D367C">
        <w:t>osts related to fluctuation</w:t>
      </w:r>
      <w:r w:rsidR="00680016" w:rsidRPr="008D367C">
        <w:t>s</w:t>
      </w:r>
      <w:r w:rsidR="003A7F6E" w:rsidRPr="008D367C">
        <w:t xml:space="preserve"> of foreign exchange rates</w:t>
      </w:r>
      <w:r>
        <w:t>.</w:t>
      </w:r>
    </w:p>
    <w:p w14:paraId="4E58FB4E" w14:textId="6C7E57FB" w:rsidR="003A7F6E" w:rsidRPr="008D367C" w:rsidRDefault="00495088" w:rsidP="003C58C0">
      <w:pPr>
        <w:pStyle w:val="ListParagraph"/>
        <w:numPr>
          <w:ilvl w:val="0"/>
          <w:numId w:val="22"/>
        </w:numPr>
        <w:spacing w:line="360" w:lineRule="auto"/>
      </w:pPr>
      <w:r>
        <w:t>C</w:t>
      </w:r>
      <w:r w:rsidR="003A7F6E" w:rsidRPr="008D367C">
        <w:t>osts/expenditure resulting from statutory obligations of an institution and its current tasks (i.e., tasks which would have to be performed even if the project was not implemented)</w:t>
      </w:r>
      <w:r>
        <w:t>.</w:t>
      </w:r>
    </w:p>
    <w:p w14:paraId="46ADC2C4" w14:textId="5D204C62" w:rsidR="003A7F6E" w:rsidRPr="008D367C" w:rsidRDefault="00495088" w:rsidP="003C58C0">
      <w:pPr>
        <w:pStyle w:val="ListParagraph"/>
        <w:numPr>
          <w:ilvl w:val="0"/>
          <w:numId w:val="22"/>
        </w:numPr>
        <w:spacing w:line="360" w:lineRule="auto"/>
      </w:pPr>
      <w:r>
        <w:t>C</w:t>
      </w:r>
      <w:r w:rsidR="003A7F6E" w:rsidRPr="008D367C">
        <w:t>osts of commissions incurred in relation to foreign exchange rate fluctuations</w:t>
      </w:r>
      <w:r>
        <w:t>.</w:t>
      </w:r>
    </w:p>
    <w:p w14:paraId="1315B478" w14:textId="38EE638E" w:rsidR="003A7F6E" w:rsidRPr="008D367C" w:rsidRDefault="00495088" w:rsidP="003C58C0">
      <w:pPr>
        <w:pStyle w:val="ListParagraph"/>
        <w:numPr>
          <w:ilvl w:val="0"/>
          <w:numId w:val="22"/>
        </w:numPr>
        <w:spacing w:line="360" w:lineRule="auto"/>
      </w:pPr>
      <w:r>
        <w:t>I</w:t>
      </w:r>
      <w:r w:rsidR="003A7F6E" w:rsidRPr="008D367C">
        <w:t>nterest on debt</w:t>
      </w:r>
      <w:r>
        <w:t>.</w:t>
      </w:r>
    </w:p>
    <w:p w14:paraId="42B91C36" w14:textId="14981733" w:rsidR="003A7F6E" w:rsidRPr="008D367C" w:rsidRDefault="00495088" w:rsidP="003C58C0">
      <w:pPr>
        <w:pStyle w:val="ListParagraph"/>
        <w:numPr>
          <w:ilvl w:val="0"/>
          <w:numId w:val="22"/>
        </w:numPr>
        <w:spacing w:line="360" w:lineRule="auto"/>
      </w:pPr>
      <w:r>
        <w:t>C</w:t>
      </w:r>
      <w:r w:rsidR="003A7F6E" w:rsidRPr="008D367C">
        <w:t>osts of loans or credits</w:t>
      </w:r>
      <w:r>
        <w:t>.</w:t>
      </w:r>
    </w:p>
    <w:p w14:paraId="482089D6" w14:textId="24090902" w:rsidR="00343378" w:rsidRPr="00343378" w:rsidRDefault="00495088" w:rsidP="003C58C0">
      <w:pPr>
        <w:pStyle w:val="ListParagraph"/>
        <w:numPr>
          <w:ilvl w:val="0"/>
          <w:numId w:val="22"/>
        </w:numPr>
        <w:spacing w:line="360" w:lineRule="auto"/>
      </w:pPr>
      <w:r>
        <w:lastRenderedPageBreak/>
        <w:t>S</w:t>
      </w:r>
      <w:r w:rsidR="003A7F6E" w:rsidRPr="008D367C">
        <w:t>uccess fee (bonus for the co-author of the Application Form, paid by the project partner after concluding the subsidy contract, apart from the remuneration for preparing the documentation necessary for application submission).</w:t>
      </w:r>
    </w:p>
    <w:p w14:paraId="321DB9CD" w14:textId="0E4E70C2" w:rsidR="008D367C" w:rsidRPr="008D367C" w:rsidRDefault="0072780D" w:rsidP="003C58C0">
      <w:pPr>
        <w:pStyle w:val="Heading2"/>
        <w:spacing w:line="360" w:lineRule="auto"/>
      </w:pPr>
      <w:bookmarkStart w:id="74" w:name="_Toc147242405"/>
      <w:r w:rsidRPr="008D367C">
        <w:t>2 PROJECT BUDGET STRUCTURE</w:t>
      </w:r>
      <w:bookmarkEnd w:id="74"/>
    </w:p>
    <w:p w14:paraId="393F7AD6" w14:textId="2AE5D475" w:rsidR="00106A7A" w:rsidRPr="008D367C" w:rsidRDefault="00106A7A" w:rsidP="003C58C0">
      <w:pPr>
        <w:spacing w:line="360" w:lineRule="auto"/>
      </w:pPr>
      <w:r w:rsidRPr="008D367C">
        <w:t>The</w:t>
      </w:r>
      <w:r w:rsidRPr="00106A7A">
        <w:rPr>
          <w:rFonts w:ascii="Segoe UI" w:hAnsi="Segoe UI" w:cs="Segoe UI"/>
        </w:rPr>
        <w:t xml:space="preserve"> </w:t>
      </w:r>
      <w:r w:rsidRPr="008D367C">
        <w:t>Programme recogni</w:t>
      </w:r>
      <w:r w:rsidR="004C3F0F" w:rsidRPr="008D367C">
        <w:t>s</w:t>
      </w:r>
      <w:r w:rsidRPr="008D367C">
        <w:t>e</w:t>
      </w:r>
      <w:r w:rsidR="003F1D63" w:rsidRPr="008D367C">
        <w:t>s</w:t>
      </w:r>
      <w:r w:rsidRPr="008D367C">
        <w:t xml:space="preserve"> </w:t>
      </w:r>
      <w:r w:rsidR="00EE6130" w:rsidRPr="008D367C">
        <w:t>budget</w:t>
      </w:r>
      <w:r w:rsidRPr="008D367C">
        <w:t xml:space="preserve"> Cost Categories identified with certain application rules and specifications.</w:t>
      </w:r>
    </w:p>
    <w:p w14:paraId="5CE4E3B0" w14:textId="739D0846" w:rsidR="003A7F6E" w:rsidRPr="008D367C" w:rsidRDefault="00106A7A" w:rsidP="003C58C0">
      <w:pPr>
        <w:spacing w:line="360" w:lineRule="auto"/>
      </w:pPr>
      <w:r w:rsidRPr="008D367C">
        <w:t>Thus, project</w:t>
      </w:r>
      <w:r w:rsidR="003A7F6E" w:rsidRPr="008D367C">
        <w:t xml:space="preserve"> budgets must be structured according to the following cost categories:</w:t>
      </w:r>
    </w:p>
    <w:p w14:paraId="53FFC18F" w14:textId="4E144646" w:rsidR="003A7F6E" w:rsidRPr="008D367C" w:rsidRDefault="003A7F6E" w:rsidP="003C58C0">
      <w:pPr>
        <w:spacing w:line="360" w:lineRule="auto"/>
      </w:pPr>
      <w:r w:rsidRPr="008D367C">
        <w:t>1</w:t>
      </w:r>
      <w:r w:rsidR="00C32F77" w:rsidRPr="008D367C">
        <w:t xml:space="preserve"> – </w:t>
      </w:r>
      <w:r w:rsidRPr="008D367C">
        <w:t>staff costs;</w:t>
      </w:r>
    </w:p>
    <w:p w14:paraId="15B17700" w14:textId="7AD8C6FD" w:rsidR="003A7F6E" w:rsidRPr="008D367C" w:rsidRDefault="003A7F6E" w:rsidP="003C58C0">
      <w:pPr>
        <w:spacing w:line="360" w:lineRule="auto"/>
      </w:pPr>
      <w:r w:rsidRPr="008D367C">
        <w:t>2</w:t>
      </w:r>
      <w:r w:rsidR="00C32F77" w:rsidRPr="008D367C">
        <w:t xml:space="preserve"> – </w:t>
      </w:r>
      <w:r w:rsidRPr="008D367C">
        <w:t>office and administration;</w:t>
      </w:r>
    </w:p>
    <w:p w14:paraId="542EEBA1" w14:textId="6956D6C3" w:rsidR="003A7F6E" w:rsidRPr="008D367C" w:rsidRDefault="003A7F6E" w:rsidP="003C58C0">
      <w:pPr>
        <w:spacing w:line="360" w:lineRule="auto"/>
      </w:pPr>
      <w:r w:rsidRPr="008D367C">
        <w:t>3</w:t>
      </w:r>
      <w:r w:rsidR="00C32F77" w:rsidRPr="008D367C">
        <w:t xml:space="preserve"> – </w:t>
      </w:r>
      <w:r w:rsidRPr="008D367C">
        <w:t>travel and accommodation;</w:t>
      </w:r>
    </w:p>
    <w:p w14:paraId="271254E9" w14:textId="4379E49C" w:rsidR="003A7F6E" w:rsidRPr="008D367C" w:rsidRDefault="003A7F6E" w:rsidP="003C58C0">
      <w:pPr>
        <w:spacing w:line="360" w:lineRule="auto"/>
      </w:pPr>
      <w:r w:rsidRPr="008D367C">
        <w:t>4</w:t>
      </w:r>
      <w:r w:rsidR="00C32F77" w:rsidRPr="008D367C">
        <w:t xml:space="preserve"> – </w:t>
      </w:r>
      <w:r w:rsidRPr="008D367C">
        <w:t>external expertise and services;</w:t>
      </w:r>
    </w:p>
    <w:p w14:paraId="055024D2" w14:textId="3644127C" w:rsidR="003A7F6E" w:rsidRPr="008D367C" w:rsidRDefault="003A7F6E" w:rsidP="003C58C0">
      <w:pPr>
        <w:spacing w:line="360" w:lineRule="auto"/>
      </w:pPr>
      <w:r w:rsidRPr="008D367C">
        <w:t>5</w:t>
      </w:r>
      <w:r w:rsidR="00C32F77" w:rsidRPr="008D367C">
        <w:t xml:space="preserve"> – </w:t>
      </w:r>
      <w:r w:rsidRPr="008D367C">
        <w:t>equipment;</w:t>
      </w:r>
    </w:p>
    <w:p w14:paraId="0ED869F3" w14:textId="4DC00BEC" w:rsidR="007634F0" w:rsidRPr="008D367C" w:rsidRDefault="003A7F6E" w:rsidP="003C58C0">
      <w:pPr>
        <w:spacing w:line="360" w:lineRule="auto"/>
      </w:pPr>
      <w:r w:rsidRPr="008D367C">
        <w:t>6</w:t>
      </w:r>
      <w:r w:rsidR="00C32F77" w:rsidRPr="008D367C">
        <w:t xml:space="preserve"> – </w:t>
      </w:r>
      <w:r w:rsidRPr="008D367C">
        <w:t>infrastructure and works</w:t>
      </w:r>
      <w:r w:rsidR="000E5388">
        <w:t>.</w:t>
      </w:r>
    </w:p>
    <w:p w14:paraId="15AE6595" w14:textId="121BD5CB" w:rsidR="003A7F6E" w:rsidRPr="001E4FF4" w:rsidRDefault="00406837"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T</w:t>
      </w:r>
      <w:r w:rsidR="003A7F6E" w:rsidRPr="001E4FF4">
        <w:rPr>
          <w:rFonts w:ascii="Open Sans SemiBold" w:eastAsia="Open Sans SemiBold" w:hAnsi="Open Sans SemiBold" w:cs="Open Sans SemiBold"/>
          <w:bCs/>
          <w:color w:val="003399"/>
        </w:rPr>
        <w:t xml:space="preserve">he budget structure </w:t>
      </w:r>
      <w:r w:rsidRPr="001E4FF4">
        <w:rPr>
          <w:rFonts w:ascii="Open Sans SemiBold" w:eastAsia="Open Sans SemiBold" w:hAnsi="Open Sans SemiBold" w:cs="Open Sans SemiBold"/>
          <w:bCs/>
          <w:color w:val="003399"/>
        </w:rPr>
        <w:t xml:space="preserve">also </w:t>
      </w:r>
      <w:r w:rsidR="003A7F6E" w:rsidRPr="001E4FF4">
        <w:rPr>
          <w:rFonts w:ascii="Open Sans SemiBold" w:eastAsia="Open Sans SemiBold" w:hAnsi="Open Sans SemiBold" w:cs="Open Sans SemiBold"/>
          <w:bCs/>
          <w:color w:val="003399"/>
        </w:rPr>
        <w:t>includes</w:t>
      </w:r>
      <w:r w:rsidR="00F21EE9" w:rsidRPr="001E4FF4">
        <w:rPr>
          <w:rFonts w:ascii="Open Sans SemiBold" w:eastAsia="Open Sans SemiBold" w:hAnsi="Open Sans SemiBold" w:cs="Open Sans SemiBold"/>
          <w:bCs/>
          <w:color w:val="003399"/>
        </w:rPr>
        <w:t xml:space="preserve"> </w:t>
      </w:r>
      <w:r w:rsidR="003A7F6E" w:rsidRPr="001E4FF4">
        <w:rPr>
          <w:rFonts w:ascii="Open Sans SemiBold" w:eastAsia="Open Sans SemiBold" w:hAnsi="Open Sans SemiBold" w:cs="Open Sans SemiBold"/>
          <w:bCs/>
          <w:color w:val="003399"/>
        </w:rPr>
        <w:t>lump sum</w:t>
      </w:r>
      <w:r w:rsidR="0008581E" w:rsidRPr="001E4FF4">
        <w:rPr>
          <w:rFonts w:ascii="Open Sans SemiBold" w:eastAsia="Open Sans SemiBold" w:hAnsi="Open Sans SemiBold" w:cs="Open Sans SemiBold"/>
          <w:bCs/>
          <w:color w:val="003399"/>
        </w:rPr>
        <w:t>s</w:t>
      </w:r>
      <w:r w:rsidR="008B1C26" w:rsidRPr="001E4FF4">
        <w:rPr>
          <w:rFonts w:ascii="Open Sans SemiBold" w:eastAsia="Open Sans SemiBold" w:hAnsi="Open Sans SemiBold" w:cs="Open Sans SemiBold"/>
          <w:bCs/>
          <w:color w:val="003399"/>
        </w:rPr>
        <w:t xml:space="preserve"> for project preparation</w:t>
      </w:r>
      <w:r w:rsidR="0008581E" w:rsidRPr="001E4FF4">
        <w:rPr>
          <w:rFonts w:ascii="Open Sans SemiBold" w:eastAsia="Open Sans SemiBold" w:hAnsi="Open Sans SemiBold" w:cs="Open Sans SemiBold"/>
          <w:bCs/>
          <w:color w:val="003399"/>
        </w:rPr>
        <w:t xml:space="preserve"> and closure</w:t>
      </w:r>
      <w:r w:rsidR="008B1C26" w:rsidRPr="001E4FF4">
        <w:rPr>
          <w:rFonts w:ascii="Open Sans SemiBold" w:eastAsia="Open Sans SemiBold" w:hAnsi="Open Sans SemiBold" w:cs="Open Sans SemiBold"/>
          <w:bCs/>
          <w:color w:val="003399"/>
        </w:rPr>
        <w:t xml:space="preserve"> costs.</w:t>
      </w:r>
    </w:p>
    <w:p w14:paraId="02530E43" w14:textId="38486C6E" w:rsidR="00CA3516" w:rsidRPr="0003579B" w:rsidRDefault="00CA3516" w:rsidP="003C58C0">
      <w:pPr>
        <w:spacing w:line="360" w:lineRule="auto"/>
      </w:pPr>
      <w:r w:rsidRPr="001E4FF4">
        <w:rPr>
          <w:rFonts w:ascii="Open Sans SemiBold" w:eastAsia="Open Sans SemiBold" w:hAnsi="Open Sans SemiBold" w:cs="Open Sans SemiBold"/>
          <w:bCs/>
          <w:color w:val="003399"/>
        </w:rPr>
        <w:t>It also includes a separate category for contribution in-kind (voluntary wor</w:t>
      </w:r>
      <w:r w:rsidR="001E4FF4">
        <w:rPr>
          <w:rFonts w:ascii="Open Sans SemiBold" w:eastAsia="Open Sans SemiBold" w:hAnsi="Open Sans SemiBold" w:cs="Open Sans SemiBold"/>
          <w:bCs/>
          <w:color w:val="003399"/>
        </w:rPr>
        <w:t>k).</w:t>
      </w:r>
      <w:r w:rsidR="0058304F">
        <w:rPr>
          <w:rStyle w:val="FootnoteReference"/>
          <w:rFonts w:ascii="Open Sans SemiBold" w:eastAsia="Open Sans SemiBold" w:hAnsi="Open Sans SemiBold" w:cs="Open Sans SemiBold"/>
          <w:bCs/>
          <w:color w:val="003399"/>
          <w:sz w:val="20"/>
          <w:szCs w:val="20"/>
        </w:rPr>
        <w:footnoteReference w:id="31"/>
      </w:r>
    </w:p>
    <w:p w14:paraId="195B23BA" w14:textId="56CD7E48" w:rsidR="00106A7A" w:rsidRPr="0058304F" w:rsidRDefault="003A7F6E" w:rsidP="003C58C0">
      <w:pPr>
        <w:spacing w:line="360" w:lineRule="auto"/>
      </w:pPr>
      <w:r w:rsidRPr="000473CC">
        <w:t xml:space="preserve">In the section below, specific rules on eligibility of expenditure under individual cost categories are detailed. In addition, examples of eligible and ineligible expenditures are provided. However, it should be noted that it is the objective of the project and the nature of actions under the project, as well as fulfilment of </w:t>
      </w:r>
      <w:r w:rsidRPr="000473CC">
        <w:lastRenderedPageBreak/>
        <w:t>the above general eligibility rules that determine whether any given expenditure submitted by the project partner in the payment claim may be deemed eligible.</w:t>
      </w:r>
      <w:bookmarkStart w:id="75" w:name="_Toc429501115"/>
      <w:bookmarkStart w:id="76" w:name="_Toc431818946"/>
      <w:bookmarkStart w:id="77" w:name="_Toc462755806"/>
      <w:bookmarkStart w:id="78" w:name="IV3"/>
      <w:bookmarkEnd w:id="73"/>
    </w:p>
    <w:p w14:paraId="3623490F" w14:textId="1D518ADB" w:rsidR="00AA562B" w:rsidRPr="00AA562B" w:rsidRDefault="001E4FF4" w:rsidP="003C58C0">
      <w:pPr>
        <w:spacing w:line="360" w:lineRule="auto"/>
      </w:pPr>
      <w:r>
        <w:rPr>
          <w:noProof/>
        </w:rPr>
        <mc:AlternateContent>
          <mc:Choice Requires="wps">
            <w:drawing>
              <wp:inline distT="0" distB="0" distL="0" distR="0" wp14:anchorId="5C48A41C" wp14:editId="3740449F">
                <wp:extent cx="5772785" cy="781050"/>
                <wp:effectExtent l="0" t="0" r="18415" b="19050"/>
                <wp:docPr id="9713358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781050"/>
                        </a:xfrm>
                        <a:prstGeom prst="rect">
                          <a:avLst/>
                        </a:prstGeom>
                        <a:ln w="12700">
                          <a:solidFill>
                            <a:srgbClr val="003399"/>
                          </a:solidFill>
                          <a:prstDash val="solid"/>
                        </a:ln>
                      </wps:spPr>
                      <wps:txbx>
                        <w:txbxContent>
                          <w:p w14:paraId="4FD79A91"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ExtraBold" w:eastAsiaTheme="minorHAnsi" w:hAnsiTheme="minorHAnsi" w:cstheme="minorBidi"/>
                                <w:b/>
                                <w:color w:val="003399"/>
                                <w:spacing w:val="-2"/>
                                <w:sz w:val="24"/>
                                <w:szCs w:val="28"/>
                                <w:lang w:eastAsia="en-US"/>
                              </w:rPr>
                              <w:t>Annex 2</w:t>
                            </w:r>
                            <w:r w:rsidRPr="001E4FF4">
                              <w:rPr>
                                <w:rFonts w:ascii="Open Sans SemiBold" w:eastAsia="Open Sans SemiBold" w:hAnsi="Open Sans SemiBold" w:cs="Open Sans SemiBold"/>
                                <w:bCs/>
                                <w:color w:val="003399"/>
                                <w:sz w:val="32"/>
                                <w:szCs w:val="28"/>
                                <w:lang w:eastAsia="en-US"/>
                              </w:rPr>
                              <w:t xml:space="preserve"> </w:t>
                            </w:r>
                            <w:r w:rsidRPr="001E4FF4">
                              <w:rPr>
                                <w:rFonts w:ascii="Open Sans SemiBold" w:eastAsia="Open Sans SemiBold" w:hAnsi="Open Sans SemiBold" w:cs="Open Sans SemiBold"/>
                                <w:bCs/>
                                <w:color w:val="003399"/>
                                <w:sz w:val="24"/>
                                <w:szCs w:val="22"/>
                                <w:lang w:eastAsia="en-US"/>
                              </w:rPr>
                              <w:t>Additional obligations, eligibility rules and guidance for Polish partners</w:t>
                            </w:r>
                            <w:r w:rsidRPr="001E4FF4">
                              <w:rPr>
                                <w:rFonts w:ascii="Open Sans" w:eastAsiaTheme="minorHAnsi" w:hAnsi="Open Sans" w:cstheme="minorBidi"/>
                                <w:color w:val="auto"/>
                                <w:sz w:val="24"/>
                                <w:szCs w:val="22"/>
                                <w:lang w:eastAsia="en-US"/>
                              </w:rPr>
                              <w:t xml:space="preserve"> provides guidance to be followed by Polish lead partners and Polish project partners.</w:t>
                            </w:r>
                          </w:p>
                        </w:txbxContent>
                      </wps:txbx>
                      <wps:bodyPr wrap="square" lIns="0" tIns="0" rIns="0" bIns="0" rtlCol="0">
                        <a:noAutofit/>
                      </wps:bodyPr>
                    </wps:wsp>
                  </a:graphicData>
                </a:graphic>
              </wp:inline>
            </w:drawing>
          </mc:Choice>
          <mc:Fallback>
            <w:pict>
              <v:shape w14:anchorId="5C48A41C" id="_x0000_s1052" type="#_x0000_t202" style="width:454.55pt;height: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" filled="f" strokecolor="#039" strokeweight="1pt">
                <v:path arrowok="t"/>
                <v:textbox inset="0,0,0,0">
                  <w:txbxContent>
                    <w:p w14:paraId="4FD79A91"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ExtraBold" w:eastAsiaTheme="minorHAnsi" w:hAnsiTheme="minorHAnsi" w:cstheme="minorBidi"/>
                          <w:b/>
                          <w:color w:val="003399"/>
                          <w:spacing w:val="-2"/>
                          <w:sz w:val="24"/>
                          <w:szCs w:val="28"/>
                          <w:lang w:eastAsia="en-US"/>
                        </w:rPr>
                        <w:t>Annex 2</w:t>
                      </w:r>
                      <w:r w:rsidRPr="001E4FF4">
                        <w:rPr>
                          <w:rFonts w:ascii="Open Sans SemiBold" w:eastAsia="Open Sans SemiBold" w:hAnsi="Open Sans SemiBold" w:cs="Open Sans SemiBold"/>
                          <w:bCs/>
                          <w:color w:val="003399"/>
                          <w:sz w:val="32"/>
                          <w:szCs w:val="28"/>
                          <w:lang w:eastAsia="en-US"/>
                        </w:rPr>
                        <w:t xml:space="preserve"> </w:t>
                      </w:r>
                      <w:r w:rsidRPr="001E4FF4">
                        <w:rPr>
                          <w:rFonts w:ascii="Open Sans SemiBold" w:eastAsia="Open Sans SemiBold" w:hAnsi="Open Sans SemiBold" w:cs="Open Sans SemiBold"/>
                          <w:bCs/>
                          <w:color w:val="003399"/>
                          <w:sz w:val="24"/>
                          <w:szCs w:val="22"/>
                          <w:lang w:eastAsia="en-US"/>
                        </w:rPr>
                        <w:t>Additional obligations, eligibility rules and guidance for Polish partners</w:t>
                      </w:r>
                      <w:r w:rsidRPr="001E4FF4">
                        <w:rPr>
                          <w:rFonts w:ascii="Open Sans" w:eastAsiaTheme="minorHAnsi" w:hAnsi="Open Sans" w:cstheme="minorBidi"/>
                          <w:color w:val="auto"/>
                          <w:sz w:val="24"/>
                          <w:szCs w:val="22"/>
                          <w:lang w:eastAsia="en-US"/>
                        </w:rPr>
                        <w:t xml:space="preserve"> provides guidance to be followed by Polish lead partners and Polish project partners.</w:t>
                      </w:r>
                    </w:p>
                  </w:txbxContent>
                </v:textbox>
                <w10:anchorlock/>
              </v:shape>
            </w:pict>
          </mc:Fallback>
        </mc:AlternateContent>
      </w:r>
    </w:p>
    <w:p w14:paraId="2C4F630F" w14:textId="54BBF4E2" w:rsidR="00CA3516" w:rsidRPr="001E4FF4" w:rsidRDefault="00CA351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Contribution in-kind (voluntary work)</w:t>
      </w:r>
    </w:p>
    <w:p w14:paraId="785F1399" w14:textId="444BE050" w:rsidR="00CA3516" w:rsidRPr="00121C6C" w:rsidRDefault="00CA3516" w:rsidP="003C58C0">
      <w:pPr>
        <w:spacing w:line="360" w:lineRule="auto"/>
      </w:pPr>
      <w:r w:rsidRPr="00121C6C">
        <w:t xml:space="preserve">Contribution in-kind may be brought into a project only if it is an unpaid service free of charge. </w:t>
      </w:r>
    </w:p>
    <w:p w14:paraId="35DE2115" w14:textId="3C86CE53" w:rsidR="00CA3516" w:rsidRPr="001E4FF4" w:rsidRDefault="00CA351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Other forms of in-kind contribution are not eligible!</w:t>
      </w:r>
    </w:p>
    <w:p w14:paraId="0157F270" w14:textId="7F8559A1" w:rsidR="00CA3516" w:rsidRPr="00121C6C" w:rsidRDefault="00FF759E" w:rsidP="003C58C0">
      <w:pPr>
        <w:spacing w:line="360" w:lineRule="auto"/>
      </w:pPr>
      <w:r w:rsidRPr="00121C6C">
        <w:t>V</w:t>
      </w:r>
      <w:r w:rsidR="00CA3516" w:rsidRPr="00121C6C">
        <w:t xml:space="preserve">oluntary work should be reported as a separate category dedicated to </w:t>
      </w:r>
      <w:r w:rsidR="00BA4802" w:rsidRPr="00121C6C">
        <w:t>in</w:t>
      </w:r>
      <w:r w:rsidR="00CA3516" w:rsidRPr="00121C6C">
        <w:t>-kind contribution.</w:t>
      </w:r>
      <w:r w:rsidR="00CA3516" w:rsidRPr="00DE68FB">
        <w:t xml:space="preserve"> Voluntary work as in-kind contribution cannot constitute the </w:t>
      </w:r>
      <w:r w:rsidR="00CA3516" w:rsidRPr="00121C6C">
        <w:t>basis for calculating flat rate for staff cost, office and administration costs and travel and accommodation costs.</w:t>
      </w:r>
    </w:p>
    <w:p w14:paraId="514175ED" w14:textId="7A342A57" w:rsidR="00CA3516" w:rsidRPr="00121C6C" w:rsidRDefault="00CA3516" w:rsidP="003C58C0">
      <w:pPr>
        <w:spacing w:line="360" w:lineRule="auto"/>
      </w:pPr>
      <w:r w:rsidRPr="00121C6C">
        <w:t>The in-kind contribution cannot exceed 10% of the incurred eligible expenditure at the project partner level or 5% at the project level.</w:t>
      </w:r>
    </w:p>
    <w:p w14:paraId="4DDAD1FA" w14:textId="77777777" w:rsidR="00CA3516" w:rsidRPr="00121C6C" w:rsidRDefault="00CA3516" w:rsidP="003C58C0">
      <w:pPr>
        <w:spacing w:line="360" w:lineRule="auto"/>
      </w:pPr>
      <w:r w:rsidRPr="00121C6C">
        <w:t>To be deemed eligible:</w:t>
      </w:r>
    </w:p>
    <w:p w14:paraId="5EB64A19" w14:textId="441B8263" w:rsidR="00CA3516" w:rsidRPr="00121C6C" w:rsidRDefault="000E5388" w:rsidP="003C58C0">
      <w:pPr>
        <w:pStyle w:val="ListParagraph"/>
        <w:numPr>
          <w:ilvl w:val="0"/>
          <w:numId w:val="22"/>
        </w:numPr>
        <w:spacing w:line="360" w:lineRule="auto"/>
      </w:pPr>
      <w:r>
        <w:t>I</w:t>
      </w:r>
      <w:r w:rsidR="00CA3516" w:rsidRPr="00121C6C">
        <w:t>t must be planned and approved in the Application Form; the type of work performed by the volunteer must be defined (his/her position in the project)</w:t>
      </w:r>
      <w:r>
        <w:t>.</w:t>
      </w:r>
    </w:p>
    <w:p w14:paraId="1245789A" w14:textId="02312360" w:rsidR="00CA3516" w:rsidRPr="00121C6C" w:rsidRDefault="000E5388" w:rsidP="003C58C0">
      <w:pPr>
        <w:pStyle w:val="ListParagraph"/>
        <w:numPr>
          <w:ilvl w:val="0"/>
          <w:numId w:val="22"/>
        </w:numPr>
        <w:spacing w:line="360" w:lineRule="auto"/>
      </w:pPr>
      <w:r>
        <w:t>I</w:t>
      </w:r>
      <w:r w:rsidR="00CA3516" w:rsidRPr="00121C6C">
        <w:t>t must be essential to the project, strictly limited to project activities and related to the production of project outputs and results</w:t>
      </w:r>
      <w:r>
        <w:t>.</w:t>
      </w:r>
    </w:p>
    <w:p w14:paraId="0E30656B" w14:textId="0959AD3A" w:rsidR="00CA3516" w:rsidRPr="00121C6C" w:rsidRDefault="000E5388" w:rsidP="003C58C0">
      <w:pPr>
        <w:pStyle w:val="ListParagraph"/>
        <w:numPr>
          <w:ilvl w:val="0"/>
          <w:numId w:val="22"/>
        </w:numPr>
        <w:spacing w:line="360" w:lineRule="auto"/>
      </w:pPr>
      <w:r>
        <w:t>I</w:t>
      </w:r>
      <w:r w:rsidR="00CA3516" w:rsidRPr="00121C6C">
        <w:t xml:space="preserve">t must be based on an agreement that would have to be concluded before the start of a project-specific activity (it is recommended to conclude it even before the signing of the Subsidy Contract, in English and/or in the </w:t>
      </w:r>
      <w:r w:rsidR="00CA3516" w:rsidRPr="00121C6C">
        <w:lastRenderedPageBreak/>
        <w:t>national language), clearly defining the responsibilities and tasks of the volunteer)</w:t>
      </w:r>
      <w:r>
        <w:t>.</w:t>
      </w:r>
    </w:p>
    <w:p w14:paraId="71AF798F" w14:textId="505739B9" w:rsidR="00CA3516" w:rsidRPr="00121C6C" w:rsidRDefault="000E5388" w:rsidP="003C58C0">
      <w:pPr>
        <w:pStyle w:val="ListParagraph"/>
        <w:numPr>
          <w:ilvl w:val="0"/>
          <w:numId w:val="22"/>
        </w:numPr>
        <w:spacing w:line="360" w:lineRule="auto"/>
      </w:pPr>
      <w:r>
        <w:t>I</w:t>
      </w:r>
      <w:r w:rsidR="00CA3516" w:rsidRPr="00121C6C">
        <w:t>t must be objectively valued reflecting an average salary rate for a similar kind of work in the project organisations or other similar institutions, or in the region, or calculated according to the rules applicable nationally</w:t>
      </w:r>
      <w:r>
        <w:t>.</w:t>
      </w:r>
    </w:p>
    <w:p w14:paraId="73D74BEC" w14:textId="3B0106AD" w:rsidR="00CA3516" w:rsidRPr="00121C6C" w:rsidRDefault="000E5388" w:rsidP="003C58C0">
      <w:pPr>
        <w:pStyle w:val="ListParagraph"/>
        <w:numPr>
          <w:ilvl w:val="0"/>
          <w:numId w:val="22"/>
        </w:numPr>
        <w:spacing w:line="360" w:lineRule="auto"/>
      </w:pPr>
      <w:r>
        <w:t>I</w:t>
      </w:r>
      <w:r w:rsidR="00CA3516" w:rsidRPr="00121C6C">
        <w:t>t must be listed in a relevant progress report and supported by the necessary documentation (an agreement, document setting out a fixed percentage of time worked on the project, etc.)</w:t>
      </w:r>
      <w:r>
        <w:t>.</w:t>
      </w:r>
    </w:p>
    <w:p w14:paraId="57D23808" w14:textId="0D9FFE30" w:rsidR="00CA3516" w:rsidRPr="00121C6C" w:rsidRDefault="000E5388" w:rsidP="003C58C0">
      <w:pPr>
        <w:pStyle w:val="ListParagraph"/>
        <w:numPr>
          <w:ilvl w:val="0"/>
          <w:numId w:val="22"/>
        </w:numPr>
        <w:spacing w:line="360" w:lineRule="auto"/>
      </w:pPr>
      <w:r>
        <w:t>T</w:t>
      </w:r>
      <w:r w:rsidR="00CA3516" w:rsidRPr="00121C6C">
        <w:t xml:space="preserve">he work performed by employees of the project partner may not be considered as voluntary work. </w:t>
      </w:r>
    </w:p>
    <w:p w14:paraId="4D872A36" w14:textId="77D0E536" w:rsidR="00CA3516" w:rsidRPr="001E4FF4" w:rsidRDefault="00CA351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Reporting and documenting unpaid voluntary work</w:t>
      </w:r>
    </w:p>
    <w:p w14:paraId="673EE03E" w14:textId="77777777" w:rsidR="00CA3516" w:rsidRPr="00121C6C" w:rsidRDefault="00CA3516" w:rsidP="003C58C0">
      <w:pPr>
        <w:spacing w:line="360" w:lineRule="auto"/>
      </w:pPr>
      <w:r w:rsidRPr="00121C6C">
        <w:t xml:space="preserve">The following methods may be used to objectively value unpaid voluntary work: </w:t>
      </w:r>
    </w:p>
    <w:p w14:paraId="722D9DAF" w14:textId="77777777" w:rsidR="00CA3516" w:rsidRPr="00121C6C" w:rsidRDefault="00CA3516" w:rsidP="003C58C0">
      <w:pPr>
        <w:pStyle w:val="ListParagraph"/>
        <w:numPr>
          <w:ilvl w:val="0"/>
          <w:numId w:val="22"/>
        </w:numPr>
        <w:spacing w:line="360" w:lineRule="auto"/>
      </w:pPr>
      <w:r w:rsidRPr="00121C6C">
        <w:t xml:space="preserve">Using minimum wages: In this method, the minimum wage is used to calculate an hourly rate for voluntary work. However, it can be applied only if minimum wages exist in the country of the partner (e.g., Poland) and the economic sector for which the project work is of a similar nature (e.g., construction sector in Germany, industrial sector in Denmark). The advantage is that it requires the least effort for the partner and First Level controller. On the other hand, some work (e.g., scientific input of retired professors, accountancy by a volunteer but qualified accountant) might be undervalued if a general minimum wage is used. </w:t>
      </w:r>
    </w:p>
    <w:p w14:paraId="5B0749BE" w14:textId="77777777" w:rsidR="00CA3516" w:rsidRPr="00121C6C" w:rsidRDefault="00CA3516" w:rsidP="003C58C0">
      <w:pPr>
        <w:pStyle w:val="ListParagraph"/>
        <w:numPr>
          <w:ilvl w:val="0"/>
          <w:numId w:val="22"/>
        </w:numPr>
        <w:spacing w:line="360" w:lineRule="auto"/>
      </w:pPr>
      <w:r w:rsidRPr="00121C6C">
        <w:t xml:space="preserve">Case-by-case valuation: According to this method, the partner and the First Level controller agree on hourly rates for the voluntary work with reference to the specific tasks to be carried out by the project staff and the qualifications of the person involved. The basis for the valuation can be, e.g., salaries paid by the partners or similar organisations for similar purposes/staff. The method requires a lot of effort from the partner and </w:t>
      </w:r>
      <w:r w:rsidRPr="00121C6C">
        <w:lastRenderedPageBreak/>
        <w:t xml:space="preserve">the First Level controllers if no pre-work and basis for the valuation can be found. This method is most appropriate for NGOs, which are often familiar with the approach from other programmes and might use previous calculations. </w:t>
      </w:r>
    </w:p>
    <w:p w14:paraId="558C1D74" w14:textId="5B4CE55D" w:rsidR="00C26C6F" w:rsidRPr="00C26C6F" w:rsidRDefault="00CA3516" w:rsidP="003C58C0">
      <w:pPr>
        <w:pStyle w:val="ListParagraph"/>
        <w:numPr>
          <w:ilvl w:val="0"/>
          <w:numId w:val="22"/>
        </w:numPr>
        <w:spacing w:line="360" w:lineRule="auto"/>
      </w:pPr>
      <w:r w:rsidRPr="00121C6C">
        <w:t>National rates for voluntary work: Member States have the possibility to define rates for voluntary work for partners located on their territory, based on market prices and according to nationally applicable rules.</w:t>
      </w:r>
    </w:p>
    <w:p w14:paraId="671602D0" w14:textId="0180C22B" w:rsidR="00106A7A" w:rsidRPr="005B20FD" w:rsidRDefault="0072780D" w:rsidP="003C58C0">
      <w:pPr>
        <w:pStyle w:val="Heading2"/>
        <w:spacing w:line="360" w:lineRule="auto"/>
      </w:pPr>
      <w:bookmarkStart w:id="79" w:name="_Toc147242406"/>
      <w:r w:rsidRPr="005B20FD">
        <w:t>3 COST CATEGORIES</w:t>
      </w:r>
      <w:bookmarkEnd w:id="79"/>
    </w:p>
    <w:p w14:paraId="514D5C96" w14:textId="642AE11B" w:rsidR="0072780D" w:rsidRPr="00C223C5" w:rsidRDefault="0072780D" w:rsidP="003C58C0">
      <w:pPr>
        <w:pStyle w:val="Heading3"/>
        <w:spacing w:line="360" w:lineRule="auto"/>
      </w:pPr>
      <w:bookmarkStart w:id="80" w:name="_Toc147242407"/>
      <w:r w:rsidRPr="005B20FD">
        <w:t xml:space="preserve">3.1 </w:t>
      </w:r>
      <w:r w:rsidR="002C7DA6" w:rsidRPr="005B20FD">
        <w:t>Project preparation costs</w:t>
      </w:r>
      <w:bookmarkEnd w:id="80"/>
    </w:p>
    <w:p w14:paraId="7A19359F" w14:textId="77777777" w:rsidR="002C7DA6" w:rsidRPr="00121C6C" w:rsidRDefault="002C7DA6" w:rsidP="003C58C0">
      <w:pPr>
        <w:spacing w:line="360" w:lineRule="auto"/>
      </w:pPr>
      <w:r w:rsidRPr="00121C6C">
        <w:t xml:space="preserve">The Programme offers a lump sum for project preparation costs (no proof in the form of financial documents is needed), under the condition that the project application has been approved in the call for proposals. </w:t>
      </w:r>
    </w:p>
    <w:p w14:paraId="5EE01B85" w14:textId="77777777" w:rsidR="00F5531F" w:rsidRPr="00121C6C" w:rsidRDefault="002C7DA6" w:rsidP="003C58C0">
      <w:pPr>
        <w:spacing w:line="360" w:lineRule="auto"/>
      </w:pPr>
      <w:r w:rsidRPr="00121C6C">
        <w:t xml:space="preserve">The lump sum is the only way to cover preparation costs; real costs cannot be submitted and claimed for reimbursement. </w:t>
      </w:r>
    </w:p>
    <w:p w14:paraId="342AFDBD" w14:textId="61E9EBED" w:rsidR="002C7DA6" w:rsidRPr="00121C6C" w:rsidRDefault="002C7DA6" w:rsidP="003C58C0">
      <w:pPr>
        <w:spacing w:line="360" w:lineRule="auto"/>
      </w:pPr>
      <w:r w:rsidRPr="00121C6C">
        <w:t xml:space="preserve">The amount of the project preparation lump sum is </w:t>
      </w:r>
      <w:r w:rsidR="00A61615" w:rsidRPr="008E4DB3">
        <w:t>EUR 22</w:t>
      </w:r>
      <w:r w:rsidR="00770D21">
        <w:t xml:space="preserve"> </w:t>
      </w:r>
      <w:r w:rsidR="00A61615" w:rsidRPr="008E4DB3">
        <w:t>000</w:t>
      </w:r>
      <w:r w:rsidR="00A61615" w:rsidRPr="00121C6C">
        <w:t xml:space="preserve"> </w:t>
      </w:r>
      <w:r w:rsidRPr="00121C6C">
        <w:t xml:space="preserve">(total eligible amount) paid out to the </w:t>
      </w:r>
      <w:r w:rsidR="008122ED" w:rsidRPr="00121C6C">
        <w:t>l</w:t>
      </w:r>
      <w:r w:rsidR="00D45EFF" w:rsidRPr="00121C6C">
        <w:t>ead partner</w:t>
      </w:r>
      <w:r w:rsidRPr="00121C6C">
        <w:t xml:space="preserve">. The granted amount of the lump sum may be distributed by the </w:t>
      </w:r>
      <w:r w:rsidR="008122ED" w:rsidRPr="00121C6C">
        <w:t>l</w:t>
      </w:r>
      <w:r w:rsidR="00D45EFF" w:rsidRPr="00121C6C">
        <w:t>ead partner</w:t>
      </w:r>
      <w:r w:rsidRPr="00121C6C">
        <w:t xml:space="preserve"> between the project partners based on </w:t>
      </w:r>
      <w:r w:rsidR="00406837" w:rsidRPr="00121C6C">
        <w:t xml:space="preserve">an </w:t>
      </w:r>
      <w:r w:rsidRPr="00121C6C">
        <w:t xml:space="preserve">internal agreement between </w:t>
      </w:r>
      <w:r w:rsidR="00406837" w:rsidRPr="00121C6C">
        <w:t xml:space="preserve">the </w:t>
      </w:r>
      <w:r w:rsidRPr="00121C6C">
        <w:t>project partners.</w:t>
      </w:r>
    </w:p>
    <w:p w14:paraId="3091B62F" w14:textId="06EA85F0" w:rsidR="0008581E" w:rsidRDefault="0008581E" w:rsidP="003C58C0">
      <w:pPr>
        <w:spacing w:line="360" w:lineRule="auto"/>
      </w:pPr>
      <w:r w:rsidRPr="00230753">
        <w:t xml:space="preserve">The lump sum covers all costs related to the </w:t>
      </w:r>
      <w:r>
        <w:t xml:space="preserve">project </w:t>
      </w:r>
      <w:r w:rsidRPr="00230753">
        <w:t>preparation</w:t>
      </w:r>
      <w:r>
        <w:t xml:space="preserve"> – </w:t>
      </w:r>
      <w:r w:rsidRPr="00230753">
        <w:t>flat rate</w:t>
      </w:r>
      <w:r>
        <w:t xml:space="preserve"> for staff, flat rate for office and administration and flat rate for travel and accommodation</w:t>
      </w:r>
      <w:r w:rsidRPr="00230753">
        <w:t xml:space="preserve"> are not calculated from its amount.</w:t>
      </w:r>
    </w:p>
    <w:p w14:paraId="70550191" w14:textId="32DBAD3C" w:rsidR="002C7DA6" w:rsidRPr="00121C6C" w:rsidRDefault="00406837" w:rsidP="003C58C0">
      <w:pPr>
        <w:spacing w:line="360" w:lineRule="auto"/>
      </w:pPr>
      <w:r w:rsidRPr="00121C6C">
        <w:t xml:space="preserve">The </w:t>
      </w:r>
      <w:r w:rsidR="002C7DA6" w:rsidRPr="00121C6C">
        <w:t xml:space="preserve">lump sum is granted provided that the project has not received seed money funding from the South Baltic Programme (including the seed money facility implemented under the South Baltic Programme </w:t>
      </w:r>
      <w:r w:rsidRPr="00121C6C">
        <w:t xml:space="preserve">for </w:t>
      </w:r>
      <w:r w:rsidR="002C7DA6" w:rsidRPr="00121C6C">
        <w:t>2014–2020 and 2021</w:t>
      </w:r>
      <w:r w:rsidR="006910EC" w:rsidRPr="00121C6C">
        <w:t>–</w:t>
      </w:r>
      <w:r w:rsidR="002C7DA6" w:rsidRPr="00121C6C">
        <w:t>2027), or any other seed money instrument.</w:t>
      </w:r>
    </w:p>
    <w:p w14:paraId="3F3F4A66" w14:textId="62874DD2" w:rsidR="00450431" w:rsidRPr="00121C6C" w:rsidRDefault="002C7DA6" w:rsidP="003C58C0">
      <w:pPr>
        <w:spacing w:line="360" w:lineRule="auto"/>
      </w:pPr>
      <w:r w:rsidRPr="00121C6C">
        <w:lastRenderedPageBreak/>
        <w:t>The project preparation lump sum is optional for a project. It encompasses all costs incurred by the partners in the project preparation phase, including</w:t>
      </w:r>
      <w:r w:rsidR="00406837" w:rsidRPr="00121C6C">
        <w:t>,</w:t>
      </w:r>
      <w:r w:rsidRPr="00121C6C">
        <w:t xml:space="preserve"> among others</w:t>
      </w:r>
      <w:r w:rsidR="00406837" w:rsidRPr="00121C6C">
        <w:t>,</w:t>
      </w:r>
      <w:r w:rsidRPr="00121C6C">
        <w:t xml:space="preserve"> expenditure related to building a partnership such as meetings among future partners, travel and accommodation before the start of the project, staff costs, and external expertise. </w:t>
      </w:r>
    </w:p>
    <w:p w14:paraId="5C0ABB86" w14:textId="5C799468" w:rsidR="002C7DA6" w:rsidRPr="002D2991" w:rsidRDefault="002C7DA6" w:rsidP="003C58C0">
      <w:pPr>
        <w:spacing w:line="360" w:lineRule="auto"/>
        <w:rPr>
          <w:rFonts w:ascii="Segoe UI" w:eastAsiaTheme="majorEastAsia" w:hAnsi="Segoe UI" w:cs="Segoe UI"/>
          <w:color w:val="1C4E6D"/>
          <w:szCs w:val="24"/>
          <w:lang w:val="en-GB"/>
        </w:rPr>
      </w:pPr>
      <w:r w:rsidRPr="00121C6C">
        <w:t xml:space="preserve">These costs will need to be incurred by the closure of a particular call for projects. </w:t>
      </w:r>
    </w:p>
    <w:p w14:paraId="5DC72600" w14:textId="30566867" w:rsidR="002C7DA6" w:rsidRPr="00C223C5" w:rsidRDefault="0072780D" w:rsidP="003C58C0">
      <w:pPr>
        <w:pStyle w:val="Heading3"/>
        <w:spacing w:line="360" w:lineRule="auto"/>
      </w:pPr>
      <w:bookmarkStart w:id="81" w:name="_Toc147242408"/>
      <w:r w:rsidRPr="00C223C5">
        <w:t xml:space="preserve">3.2 </w:t>
      </w:r>
      <w:r w:rsidR="002C7DA6" w:rsidRPr="00C223C5">
        <w:t>Staff costs</w:t>
      </w:r>
      <w:bookmarkEnd w:id="81"/>
    </w:p>
    <w:p w14:paraId="01AD5F38" w14:textId="25470837" w:rsidR="002C7DA6" w:rsidRPr="00BD1347" w:rsidRDefault="002C7DA6" w:rsidP="003C58C0">
      <w:pPr>
        <w:spacing w:line="360" w:lineRule="auto"/>
        <w:rPr>
          <w:rFonts w:ascii="Segoe UI" w:hAnsi="Segoe UI" w:cs="Segoe UI"/>
          <w:b/>
          <w:bCs/>
        </w:rPr>
      </w:pPr>
      <w:r w:rsidRPr="00121C6C">
        <w:t xml:space="preserve">This cost category refers to the costs of staff employed by the </w:t>
      </w:r>
      <w:r w:rsidR="008122ED" w:rsidRPr="00121C6C">
        <w:t>l</w:t>
      </w:r>
      <w:r w:rsidR="00D45EFF" w:rsidRPr="00121C6C">
        <w:t>ead partner</w:t>
      </w:r>
      <w:r w:rsidRPr="00121C6C">
        <w:t xml:space="preserve"> or project partner for implementing the project. Staff can either be already employed by the project partner or contracted specifically for the project</w:t>
      </w:r>
      <w:r w:rsidR="00C32F77" w:rsidRPr="00121C6C">
        <w:t xml:space="preserve"> – </w:t>
      </w:r>
      <w:r w:rsidRPr="00121C6C">
        <w:t>for example, project coordinator, financial coordinator.</w:t>
      </w:r>
      <w:r w:rsidRPr="00BD1347">
        <w:rPr>
          <w:rFonts w:ascii="Segoe UI" w:hAnsi="Segoe UI" w:cs="Segoe UI"/>
        </w:rPr>
        <w:t xml:space="preserve"> </w:t>
      </w:r>
      <w:r w:rsidRPr="00121C6C">
        <w:rPr>
          <w:rFonts w:ascii="Open Sans SemiBold" w:eastAsia="Open Sans SemiBold" w:hAnsi="Open Sans SemiBold" w:cs="Open Sans SemiBold"/>
          <w:bCs/>
          <w:color w:val="003399"/>
        </w:rPr>
        <w:t xml:space="preserve">The project partner should choose between </w:t>
      </w:r>
      <w:r w:rsidR="007D5F2A" w:rsidRPr="00121C6C">
        <w:rPr>
          <w:rFonts w:ascii="Open Sans SemiBold" w:eastAsia="Open Sans SemiBold" w:hAnsi="Open Sans SemiBold" w:cs="Open Sans SemiBold"/>
          <w:bCs/>
          <w:color w:val="003399"/>
        </w:rPr>
        <w:t xml:space="preserve">the </w:t>
      </w:r>
      <w:r w:rsidRPr="00121C6C">
        <w:rPr>
          <w:rFonts w:ascii="Open Sans SemiBold" w:eastAsia="Open Sans SemiBold" w:hAnsi="Open Sans SemiBold" w:cs="Open Sans SemiBold"/>
          <w:bCs/>
          <w:color w:val="003399"/>
        </w:rPr>
        <w:t>following options (flat rate</w:t>
      </w:r>
      <w:r w:rsidR="000F19DE" w:rsidRPr="00121C6C">
        <w:rPr>
          <w:rFonts w:ascii="Open Sans SemiBold" w:eastAsia="Open Sans SemiBold" w:hAnsi="Open Sans SemiBold" w:cs="Open Sans SemiBold"/>
          <w:bCs/>
          <w:color w:val="003399"/>
        </w:rPr>
        <w:t xml:space="preserve"> or</w:t>
      </w:r>
      <w:r w:rsidRPr="00121C6C">
        <w:rPr>
          <w:rFonts w:ascii="Open Sans SemiBold" w:eastAsia="Open Sans SemiBold" w:hAnsi="Open Sans SemiBold" w:cs="Open Sans SemiBold"/>
          <w:bCs/>
          <w:color w:val="003399"/>
        </w:rPr>
        <w:t xml:space="preserve"> </w:t>
      </w:r>
      <w:bookmarkStart w:id="82" w:name="_Hlk112403718"/>
      <w:r w:rsidRPr="00121C6C">
        <w:rPr>
          <w:rFonts w:ascii="Open Sans SemiBold" w:eastAsia="Open Sans SemiBold" w:hAnsi="Open Sans SemiBold" w:cs="Open Sans SemiBold"/>
          <w:bCs/>
          <w:color w:val="003399"/>
        </w:rPr>
        <w:t>real costs), and the chosen option cannot be changed during a project contracting or implementation</w:t>
      </w:r>
      <w:bookmarkEnd w:id="82"/>
      <w:r w:rsidRPr="00121C6C">
        <w:rPr>
          <w:rFonts w:ascii="Open Sans SemiBold" w:eastAsia="Open Sans SemiBold" w:hAnsi="Open Sans SemiBold" w:cs="Open Sans SemiBold"/>
          <w:bCs/>
          <w:color w:val="003399"/>
        </w:rPr>
        <w:t>:</w:t>
      </w:r>
    </w:p>
    <w:p w14:paraId="732A9160" w14:textId="77777777" w:rsidR="002C7DA6" w:rsidRPr="0065702D" w:rsidRDefault="002C7DA6" w:rsidP="003C58C0">
      <w:pPr>
        <w:pStyle w:val="ListParagraph"/>
        <w:numPr>
          <w:ilvl w:val="0"/>
          <w:numId w:val="27"/>
        </w:numPr>
        <w:spacing w:line="360" w:lineRule="auto"/>
      </w:pPr>
      <w:r w:rsidRPr="0065702D">
        <w:t>calculated as 20% flat rate of direct costs other than the staff costs of the project;</w:t>
      </w:r>
    </w:p>
    <w:p w14:paraId="43180C42" w14:textId="1496A345" w:rsidR="002C7DA6" w:rsidRPr="0065702D" w:rsidRDefault="002C7DA6" w:rsidP="003C58C0">
      <w:pPr>
        <w:spacing w:line="360" w:lineRule="auto"/>
      </w:pPr>
      <w:r w:rsidRPr="0065702D">
        <w:t>The flat rate for staff costs is calculated by applying a percentage (20%) to the direct eligible costs (other than the staff costs) of the project partner. The amount of staff costs calculated as</w:t>
      </w:r>
      <w:r w:rsidRPr="00BD1347">
        <w:rPr>
          <w:rFonts w:ascii="Segoe UI" w:hAnsi="Segoe UI" w:cs="Segoe UI"/>
        </w:rPr>
        <w:t xml:space="preserve"> a flat rate </w:t>
      </w:r>
      <w:r w:rsidRPr="0065702D">
        <w:t xml:space="preserve">depends on </w:t>
      </w:r>
      <w:r w:rsidR="00406837" w:rsidRPr="0065702D">
        <w:t xml:space="preserve">the </w:t>
      </w:r>
      <w:r w:rsidRPr="0065702D">
        <w:t>expenditures reported and approved in a given progress report and any deductions made within the project (e.g., due to financial corrections).</w:t>
      </w:r>
    </w:p>
    <w:p w14:paraId="0C9B1E9D" w14:textId="5A1479EA" w:rsidR="002C7DA6" w:rsidRPr="0065702D" w:rsidRDefault="00406837" w:rsidP="003C58C0">
      <w:pPr>
        <w:spacing w:line="360" w:lineRule="auto"/>
      </w:pPr>
      <w:r w:rsidRPr="0065702D">
        <w:t>When</w:t>
      </w:r>
      <w:r w:rsidR="002C7DA6" w:rsidRPr="0065702D">
        <w:t xml:space="preserve"> using </w:t>
      </w:r>
      <w:r w:rsidRPr="0065702D">
        <w:t xml:space="preserve">the </w:t>
      </w:r>
      <w:r w:rsidR="002C7DA6" w:rsidRPr="0065702D">
        <w:t>flat rate for direct staff costs</w:t>
      </w:r>
      <w:r w:rsidRPr="0065702D">
        <w:t>,</w:t>
      </w:r>
      <w:r w:rsidR="002C7DA6" w:rsidRPr="0065702D">
        <w:t xml:space="preserve"> each project partner is obliged to store original documents confirming </w:t>
      </w:r>
      <w:r w:rsidRPr="0065702D">
        <w:t xml:space="preserve">the </w:t>
      </w:r>
      <w:r w:rsidR="002C7DA6" w:rsidRPr="0065702D">
        <w:t xml:space="preserve">employment of </w:t>
      </w:r>
      <w:r w:rsidRPr="0065702D">
        <w:t xml:space="preserve">the </w:t>
      </w:r>
      <w:r w:rsidR="002C7DA6" w:rsidRPr="0065702D">
        <w:t xml:space="preserve">staff working on the project. The project partner is obliged to submit a statement on the actual involvement of the staff in the project implementation with the first progress report in the CST IT system. Documents confirming employment will constitute the proof of legitimacy of using a flat rate (the documents will not be used to </w:t>
      </w:r>
      <w:r w:rsidR="002C7DA6" w:rsidRPr="0065702D">
        <w:lastRenderedPageBreak/>
        <w:t xml:space="preserve">compare the real salaries with the amount reimbursed using the flat rate but to prove that the project </w:t>
      </w:r>
      <w:r w:rsidRPr="0065702D">
        <w:t xml:space="preserve">does </w:t>
      </w:r>
      <w:r w:rsidR="002C7DA6" w:rsidRPr="0065702D">
        <w:t xml:space="preserve">indeed </w:t>
      </w:r>
      <w:r w:rsidRPr="0065702D">
        <w:t xml:space="preserve">have the </w:t>
      </w:r>
      <w:r w:rsidR="002C7DA6" w:rsidRPr="0065702D">
        <w:t xml:space="preserve">staff working on the project). </w:t>
      </w:r>
    </w:p>
    <w:p w14:paraId="4E539B51" w14:textId="4A59D396" w:rsidR="00231156" w:rsidRPr="0065702D" w:rsidRDefault="007A45BB" w:rsidP="003C58C0">
      <w:pPr>
        <w:spacing w:line="360" w:lineRule="auto"/>
      </w:pPr>
      <w:r w:rsidRPr="0065702D">
        <w:t>Due to the us</w:t>
      </w:r>
      <w:r w:rsidR="00DC6F66" w:rsidRPr="0065702D">
        <w:t>e</w:t>
      </w:r>
      <w:r w:rsidRPr="0065702D">
        <w:t xml:space="preserve"> of the </w:t>
      </w:r>
      <w:r w:rsidR="00231156" w:rsidRPr="0065702D">
        <w:t>flat rate</w:t>
      </w:r>
      <w:r w:rsidR="00DC6F66" w:rsidRPr="0065702D">
        <w:t xml:space="preserve"> for staff costs</w:t>
      </w:r>
      <w:r w:rsidR="00231156" w:rsidRPr="0065702D">
        <w:t xml:space="preserve">, the </w:t>
      </w:r>
      <w:r w:rsidR="009B2C5E" w:rsidRPr="0065702D">
        <w:t>LP</w:t>
      </w:r>
      <w:r w:rsidR="00231156" w:rsidRPr="0065702D">
        <w:t xml:space="preserve"> is obligated to make a statement in the CST2021</w:t>
      </w:r>
      <w:r w:rsidR="009B2C5E" w:rsidRPr="0065702D">
        <w:t xml:space="preserve"> project application</w:t>
      </w:r>
      <w:r w:rsidR="00231156" w:rsidRPr="0065702D">
        <w:t xml:space="preserve"> </w:t>
      </w:r>
      <w:r w:rsidRPr="0065702D">
        <w:t xml:space="preserve">declaring the factual engagement of its staff in </w:t>
      </w:r>
      <w:r w:rsidR="009B2C5E" w:rsidRPr="0065702D">
        <w:t xml:space="preserve">the </w:t>
      </w:r>
      <w:r w:rsidRPr="0065702D">
        <w:t>project implementation.</w:t>
      </w:r>
    </w:p>
    <w:p w14:paraId="35F23052" w14:textId="77777777" w:rsidR="002C7DA6" w:rsidRPr="0065702D" w:rsidRDefault="002C7DA6" w:rsidP="003C58C0">
      <w:pPr>
        <w:pStyle w:val="ListParagraph"/>
        <w:numPr>
          <w:ilvl w:val="0"/>
          <w:numId w:val="27"/>
        </w:numPr>
        <w:spacing w:line="360" w:lineRule="auto"/>
      </w:pPr>
      <w:r w:rsidRPr="0065702D">
        <w:t xml:space="preserve">calculated as real costs </w:t>
      </w:r>
    </w:p>
    <w:p w14:paraId="273497FA" w14:textId="77777777" w:rsidR="002C7DA6" w:rsidRPr="0065702D" w:rsidRDefault="002C7DA6" w:rsidP="003C58C0">
      <w:pPr>
        <w:spacing w:line="360" w:lineRule="auto"/>
      </w:pPr>
      <w:r w:rsidRPr="0065702D">
        <w:t xml:space="preserve">An employment contract/appointment decision/civil law contract and a job description (or a scope of duties describing the tasks, working time and regulations on involvement of an employee in the project implementation) are crucial documents for ensuring the eligibility of staff costs. </w:t>
      </w:r>
    </w:p>
    <w:p w14:paraId="27B711A9" w14:textId="77777777" w:rsidR="002C7DA6" w:rsidRPr="00BD1347" w:rsidRDefault="002C7DA6" w:rsidP="003C58C0">
      <w:pPr>
        <w:spacing w:line="360" w:lineRule="auto"/>
        <w:rPr>
          <w:rFonts w:ascii="Segoe UI" w:hAnsi="Segoe UI" w:cs="Segoe UI"/>
        </w:rPr>
      </w:pPr>
      <w:r w:rsidRPr="0065702D">
        <w:t>The project staff may work for the project in any of the following ways:</w:t>
      </w:r>
    </w:p>
    <w:p w14:paraId="145E72FA" w14:textId="77777777" w:rsidR="00BD1347" w:rsidRPr="0065702D" w:rsidRDefault="002C7DA6" w:rsidP="003C58C0">
      <w:pPr>
        <w:pStyle w:val="ListParagraph"/>
        <w:numPr>
          <w:ilvl w:val="0"/>
          <w:numId w:val="22"/>
        </w:numPr>
        <w:spacing w:line="360" w:lineRule="auto"/>
      </w:pPr>
      <w:r w:rsidRPr="0065702D">
        <w:rPr>
          <w:rFonts w:ascii="Open Sans SemiBold" w:eastAsia="Open Sans SemiBold" w:hAnsi="Open Sans SemiBold" w:cs="Open Sans SemiBold"/>
          <w:bCs/>
          <w:color w:val="003399"/>
        </w:rPr>
        <w:t xml:space="preserve">full time: </w:t>
      </w:r>
      <w:r w:rsidRPr="0065702D">
        <w:t>there is no obligation to establish a separate work time registration system;</w:t>
      </w:r>
    </w:p>
    <w:p w14:paraId="127000D7" w14:textId="75C1E9EE" w:rsidR="00D21900" w:rsidRDefault="002C7DA6" w:rsidP="003C58C0">
      <w:pPr>
        <w:pStyle w:val="ListParagraph"/>
        <w:numPr>
          <w:ilvl w:val="0"/>
          <w:numId w:val="22"/>
        </w:numPr>
        <w:spacing w:line="360" w:lineRule="auto"/>
      </w:pPr>
      <w:r w:rsidRPr="0065702D">
        <w:rPr>
          <w:rFonts w:ascii="Open Sans SemiBold" w:eastAsia="Open Sans SemiBold" w:hAnsi="Open Sans SemiBold" w:cs="Open Sans SemiBold"/>
          <w:bCs/>
          <w:color w:val="003399"/>
        </w:rPr>
        <w:t>part-time:</w:t>
      </w:r>
      <w:r w:rsidRPr="0065702D">
        <w:t xml:space="preserve"> with a fixed percentage of time, fixed for each employee, dedicated to the project per month: there is no obligation to establish a separate work time registration system</w:t>
      </w:r>
      <w:r w:rsidR="00EC5129" w:rsidRPr="0065702D">
        <w:t>.</w:t>
      </w:r>
      <w:r w:rsidRPr="0065702D">
        <w:t xml:space="preserve"> This means that timesheets or any other equivalent document should not be used, as the fixed percentage already covers the time worked on the project. In this case, a project partner issues a document for a part</w:t>
      </w:r>
      <w:r w:rsidR="003200BF" w:rsidRPr="0065702D">
        <w:t>-</w:t>
      </w:r>
      <w:r w:rsidRPr="0065702D">
        <w:t xml:space="preserve">time employee detailing the percentage of time to be worked on the project. The percentage can be set up in </w:t>
      </w:r>
      <w:r w:rsidR="003200BF" w:rsidRPr="0065702D">
        <w:t xml:space="preserve">the </w:t>
      </w:r>
      <w:r w:rsidRPr="0065702D">
        <w:t>employment contract directly or in an individual document (a specific task assignment document) as an addendum. In any case, the document is expected to include the fixed percentage per month to be worked on the project together with a list of</w:t>
      </w:r>
      <w:r w:rsidR="003200BF" w:rsidRPr="0065702D">
        <w:t xml:space="preserve"> the</w:t>
      </w:r>
      <w:r w:rsidRPr="0065702D">
        <w:t xml:space="preserve"> main tasks to be performed and/or outputs to be delivered (to justify the established fixed percentage). Such document should be prepared before the project starts </w:t>
      </w:r>
      <w:r w:rsidRPr="0065702D">
        <w:lastRenderedPageBreak/>
        <w:t xml:space="preserve">and should be submitted along with the first progress report in the </w:t>
      </w:r>
      <w:r w:rsidR="00EC5129" w:rsidRPr="0065702D">
        <w:t>CST IT</w:t>
      </w:r>
      <w:r w:rsidRPr="0065702D">
        <w:t xml:space="preserve"> system</w:t>
      </w:r>
      <w:r w:rsidR="002023F6" w:rsidRPr="0065702D">
        <w:t xml:space="preserve"> at the latest</w:t>
      </w:r>
      <w:r w:rsidRPr="0065702D">
        <w:t xml:space="preserve">. </w:t>
      </w:r>
      <w:bookmarkStart w:id="83" w:name="_Hlk111554966"/>
      <w:r w:rsidRPr="0065702D">
        <w:t>The percentage of time set for a part</w:t>
      </w:r>
      <w:r w:rsidR="003200BF" w:rsidRPr="0065702D">
        <w:t>-</w:t>
      </w:r>
      <w:r w:rsidRPr="0065702D">
        <w:t xml:space="preserve">time employee dedicated to the project must not be changed during a full reporting period. </w:t>
      </w:r>
      <w:bookmarkEnd w:id="83"/>
      <w:r w:rsidRPr="0065702D">
        <w:t xml:space="preserve">However, it may be changed during the project implementation period, provided it is justified due to changes in </w:t>
      </w:r>
      <w:r w:rsidR="003200BF" w:rsidRPr="0065702D">
        <w:t xml:space="preserve">the </w:t>
      </w:r>
      <w:r w:rsidRPr="0065702D">
        <w:t>tasks and responsibilities of the employee. Consequently, the employer must issue an amendment to the document setting out the fixed percentage of time worked on the project (or amend the employment contract directly if the percentage is indicated there). The amendment to the document setting out the fixed percentage of time on the project should be issued and submitted before the next reporting period.</w:t>
      </w:r>
    </w:p>
    <w:p w14:paraId="28B51C62" w14:textId="3138CE82" w:rsidR="00D21900" w:rsidRPr="0058304F" w:rsidRDefault="001E4FF4" w:rsidP="003C58C0">
      <w:pPr>
        <w:spacing w:line="360" w:lineRule="auto"/>
        <w:rPr>
          <w:rFonts w:eastAsia="Open Sans" w:cs="Open Sans"/>
          <w:sz w:val="20"/>
          <w:szCs w:val="20"/>
        </w:rPr>
      </w:pPr>
      <w:r>
        <w:rPr>
          <w:noProof/>
        </w:rPr>
        <mc:AlternateContent>
          <mc:Choice Requires="wps">
            <w:drawing>
              <wp:inline distT="0" distB="0" distL="0" distR="0" wp14:anchorId="6B571F26" wp14:editId="0852F16A">
                <wp:extent cx="5751830" cy="2190750"/>
                <wp:effectExtent l="0" t="0" r="20320" b="19050"/>
                <wp:docPr id="1107096863"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2190750"/>
                        </a:xfrm>
                        <a:prstGeom prst="rect">
                          <a:avLst/>
                        </a:prstGeom>
                        <a:ln w="12700">
                          <a:solidFill>
                            <a:srgbClr val="003399"/>
                          </a:solidFill>
                          <a:prstDash val="solid"/>
                        </a:ln>
                      </wps:spPr>
                      <wps:txbx>
                        <w:txbxContent>
                          <w:p w14:paraId="5BA720BE"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SemiBold" w:eastAsia="Open Sans SemiBold" w:hAnsi="Open Sans SemiBold" w:cs="Open Sans SemiBold"/>
                                <w:bCs/>
                                <w:color w:val="003399"/>
                                <w:sz w:val="24"/>
                                <w:szCs w:val="22"/>
                                <w:lang w:eastAsia="en-US"/>
                              </w:rPr>
                              <w:t xml:space="preserve">Example </w:t>
                            </w:r>
                            <w:r w:rsidRPr="001E4FF4">
                              <w:rPr>
                                <w:rFonts w:ascii="Open Sans" w:eastAsiaTheme="minorHAnsi" w:hAnsi="Open Sans" w:cstheme="minorBidi"/>
                                <w:color w:val="auto"/>
                                <w:sz w:val="24"/>
                                <w:szCs w:val="22"/>
                                <w:lang w:eastAsia="en-US"/>
                              </w:rPr>
                              <w:t>of real</w:t>
                            </w:r>
                            <w:r w:rsidRPr="001E4FF4">
                              <w:rPr>
                                <w:rFonts w:ascii="Open Sans SemiBold" w:eastAsia="Open Sans SemiBold" w:hAnsi="Open Sans SemiBold" w:cs="Open Sans SemiBold"/>
                                <w:bCs/>
                                <w:color w:val="003399"/>
                                <w:sz w:val="24"/>
                                <w:szCs w:val="22"/>
                                <w:lang w:eastAsia="en-US"/>
                              </w:rPr>
                              <w:t xml:space="preserve"> costs calculated by fixed percentage</w:t>
                            </w:r>
                            <w:r w:rsidRPr="001E4FF4">
                              <w:rPr>
                                <w:rFonts w:ascii="Open Sans" w:eastAsiaTheme="minorHAnsi" w:hAnsi="Open Sans" w:cstheme="minorBidi"/>
                                <w:color w:val="auto"/>
                                <w:sz w:val="24"/>
                                <w:szCs w:val="22"/>
                                <w:lang w:eastAsia="en-US"/>
                              </w:rPr>
                              <w:t>:</w:t>
                            </w:r>
                          </w:p>
                          <w:p w14:paraId="359FFD6E" w14:textId="77777777" w:rsidR="001E4FF4" w:rsidRPr="001E4FF4" w:rsidRDefault="001E4FF4" w:rsidP="001E4FF4">
                            <w:pPr>
                              <w:pStyle w:val="BodyText"/>
                              <w:numPr>
                                <w:ilvl w:val="0"/>
                                <w:numId w:val="82"/>
                              </w:numPr>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 xml:space="preserve">Total monthly salary costs (gross salary, incl. employer’s social contributions and other compulsory payments): EUR 5 000 </w:t>
                            </w:r>
                          </w:p>
                          <w:p w14:paraId="55CA27B9" w14:textId="77777777" w:rsidR="001E4FF4" w:rsidRPr="001E4FF4" w:rsidRDefault="001E4FF4" w:rsidP="001E4FF4">
                            <w:pPr>
                              <w:pStyle w:val="BodyText"/>
                              <w:numPr>
                                <w:ilvl w:val="0"/>
                                <w:numId w:val="82"/>
                              </w:numPr>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Percentage of time that an employee is assigned to the project (fixed in the task assignment document or in the employment contract directly): 80%</w:t>
                            </w:r>
                          </w:p>
                          <w:p w14:paraId="4762B7FA" w14:textId="77777777" w:rsidR="001E4FF4" w:rsidRPr="0065702D" w:rsidRDefault="001E4FF4" w:rsidP="001E4FF4">
                            <w:r w:rsidRPr="0065702D">
                              <w:t>Eligible staff costs of an employee = total monthly salary (gross salary) * fixed percentage staff costs = EUR 5</w:t>
                            </w:r>
                            <w:r>
                              <w:t xml:space="preserve"> </w:t>
                            </w:r>
                            <w:r w:rsidRPr="0065702D">
                              <w:t xml:space="preserve">000 * 80% = </w:t>
                            </w:r>
                            <w:r>
                              <w:t xml:space="preserve">EUR </w:t>
                            </w:r>
                            <w:r w:rsidRPr="0065702D">
                              <w:t>4</w:t>
                            </w:r>
                            <w:r>
                              <w:t xml:space="preserve"> </w:t>
                            </w:r>
                            <w:r w:rsidRPr="0065702D">
                              <w:t>000</w:t>
                            </w:r>
                          </w:p>
                        </w:txbxContent>
                      </wps:txbx>
                      <wps:bodyPr wrap="square" lIns="0" tIns="0" rIns="0" bIns="0" rtlCol="0">
                        <a:noAutofit/>
                      </wps:bodyPr>
                    </wps:wsp>
                  </a:graphicData>
                </a:graphic>
              </wp:inline>
            </w:drawing>
          </mc:Choice>
          <mc:Fallback>
            <w:pict>
              <v:shape w14:anchorId="6B571F26" id="_x0000_s1053" type="#_x0000_t202" style="width:452.9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" filled="f" strokecolor="#039" strokeweight="1pt">
                <v:path arrowok="t"/>
                <v:textbox inset="0,0,0,0">
                  <w:txbxContent>
                    <w:p w14:paraId="5BA720BE" w14:textId="77777777" w:rsidR="001E4FF4" w:rsidRPr="001E4FF4" w:rsidRDefault="001E4FF4" w:rsidP="001E4FF4">
                      <w:pPr>
                        <w:pStyle w:val="BodyText"/>
                        <w:rPr>
                          <w:rFonts w:ascii="Open Sans" w:eastAsiaTheme="minorHAnsi" w:hAnsi="Open Sans" w:cstheme="minorBidi"/>
                          <w:color w:val="auto"/>
                          <w:sz w:val="24"/>
                          <w:szCs w:val="22"/>
                          <w:lang w:eastAsia="en-US"/>
                        </w:rPr>
                      </w:pPr>
                      <w:r w:rsidRPr="001E4FF4">
                        <w:rPr>
                          <w:rFonts w:ascii="Open Sans SemiBold" w:eastAsia="Open Sans SemiBold" w:hAnsi="Open Sans SemiBold" w:cs="Open Sans SemiBold"/>
                          <w:bCs/>
                          <w:color w:val="003399"/>
                          <w:sz w:val="24"/>
                          <w:szCs w:val="22"/>
                          <w:lang w:eastAsia="en-US"/>
                        </w:rPr>
                        <w:t xml:space="preserve">Example </w:t>
                      </w:r>
                      <w:r w:rsidRPr="001E4FF4">
                        <w:rPr>
                          <w:rFonts w:ascii="Open Sans" w:eastAsiaTheme="minorHAnsi" w:hAnsi="Open Sans" w:cstheme="minorBidi"/>
                          <w:color w:val="auto"/>
                          <w:sz w:val="24"/>
                          <w:szCs w:val="22"/>
                          <w:lang w:eastAsia="en-US"/>
                        </w:rPr>
                        <w:t>of real</w:t>
                      </w:r>
                      <w:r w:rsidRPr="001E4FF4">
                        <w:rPr>
                          <w:rFonts w:ascii="Open Sans SemiBold" w:eastAsia="Open Sans SemiBold" w:hAnsi="Open Sans SemiBold" w:cs="Open Sans SemiBold"/>
                          <w:bCs/>
                          <w:color w:val="003399"/>
                          <w:sz w:val="24"/>
                          <w:szCs w:val="22"/>
                          <w:lang w:eastAsia="en-US"/>
                        </w:rPr>
                        <w:t xml:space="preserve"> costs calculated by fixed percentage</w:t>
                      </w:r>
                      <w:r w:rsidRPr="001E4FF4">
                        <w:rPr>
                          <w:rFonts w:ascii="Open Sans" w:eastAsiaTheme="minorHAnsi" w:hAnsi="Open Sans" w:cstheme="minorBidi"/>
                          <w:color w:val="auto"/>
                          <w:sz w:val="24"/>
                          <w:szCs w:val="22"/>
                          <w:lang w:eastAsia="en-US"/>
                        </w:rPr>
                        <w:t>:</w:t>
                      </w:r>
                    </w:p>
                    <w:p w14:paraId="359FFD6E" w14:textId="77777777" w:rsidR="001E4FF4" w:rsidRPr="001E4FF4" w:rsidRDefault="001E4FF4" w:rsidP="001E4FF4">
                      <w:pPr>
                        <w:pStyle w:val="BodyText"/>
                        <w:numPr>
                          <w:ilvl w:val="0"/>
                          <w:numId w:val="82"/>
                        </w:numPr>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 xml:space="preserve">Total monthly salary costs (gross salary, incl. employer’s social contributions and other compulsory payments): EUR 5 000 </w:t>
                      </w:r>
                    </w:p>
                    <w:p w14:paraId="55CA27B9" w14:textId="77777777" w:rsidR="001E4FF4" w:rsidRPr="001E4FF4" w:rsidRDefault="001E4FF4" w:rsidP="001E4FF4">
                      <w:pPr>
                        <w:pStyle w:val="BodyText"/>
                        <w:numPr>
                          <w:ilvl w:val="0"/>
                          <w:numId w:val="82"/>
                        </w:numPr>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Percentage of time that an employee is assigned to the project (fixed in the task assignment document or in the employment contract directly): 80%</w:t>
                      </w:r>
                    </w:p>
                    <w:p w14:paraId="4762B7FA" w14:textId="77777777" w:rsidR="001E4FF4" w:rsidRPr="0065702D" w:rsidRDefault="001E4FF4" w:rsidP="001E4FF4">
                      <w:r w:rsidRPr="0065702D">
                        <w:t>Eligible staff costs of an employee = total monthly salary (gross salary) * fixed percentage staff costs = EUR 5</w:t>
                      </w:r>
                      <w:r>
                        <w:t xml:space="preserve"> </w:t>
                      </w:r>
                      <w:r w:rsidRPr="0065702D">
                        <w:t xml:space="preserve">000 * 80% = </w:t>
                      </w:r>
                      <w:r>
                        <w:t xml:space="preserve">EUR </w:t>
                      </w:r>
                      <w:r w:rsidRPr="0065702D">
                        <w:t>4</w:t>
                      </w:r>
                      <w:r>
                        <w:t xml:space="preserve"> </w:t>
                      </w:r>
                      <w:r w:rsidRPr="0065702D">
                        <w:t>000</w:t>
                      </w:r>
                    </w:p>
                  </w:txbxContent>
                </v:textbox>
                <w10:anchorlock/>
              </v:shape>
            </w:pict>
          </mc:Fallback>
        </mc:AlternateContent>
      </w:r>
    </w:p>
    <w:p w14:paraId="6182EE6C" w14:textId="29790B39" w:rsidR="002C7DA6" w:rsidRPr="0065702D" w:rsidRDefault="002C7DA6" w:rsidP="003C58C0">
      <w:pPr>
        <w:spacing w:line="360" w:lineRule="auto"/>
      </w:pPr>
      <w:r w:rsidRPr="0065702D">
        <w:t xml:space="preserve">Staff salaries are eligible, provided that their amount corresponds to the salary levels applied by the project partner on a regular basis, beyond the implementation of projects co-financed from the structural funds and the Cohesion Fund, towards similar positions or positions requiring similar qualifications. This rule </w:t>
      </w:r>
      <w:r w:rsidR="000D18CE" w:rsidRPr="0065702D">
        <w:t xml:space="preserve">also </w:t>
      </w:r>
      <w:r w:rsidRPr="0065702D">
        <w:t xml:space="preserve">relates to other components of staff remuneration, including rewards and bonuses. </w:t>
      </w:r>
      <w:r w:rsidR="00B7310E" w:rsidRPr="0065702D">
        <w:t>To</w:t>
      </w:r>
      <w:r w:rsidRPr="0065702D">
        <w:t xml:space="preserve"> claim actually incurred staff costs as eligible, staff data and the regulations of staff involvement (full time/part time </w:t>
      </w:r>
      <w:r w:rsidRPr="0065702D">
        <w:lastRenderedPageBreak/>
        <w:t>employment) in the project implementation should be recorded in the CST IT system.</w:t>
      </w:r>
    </w:p>
    <w:p w14:paraId="108E80E7" w14:textId="4A5B3693" w:rsidR="002C7DA6" w:rsidRPr="001E4FF4" w:rsidRDefault="002C7DA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Eligible costs</w:t>
      </w:r>
    </w:p>
    <w:p w14:paraId="3DD368E6" w14:textId="29675EDF" w:rsidR="00276357" w:rsidRPr="0065702D" w:rsidRDefault="005B20FD" w:rsidP="003C58C0">
      <w:pPr>
        <w:pStyle w:val="ListParagraph"/>
        <w:numPr>
          <w:ilvl w:val="0"/>
          <w:numId w:val="22"/>
        </w:numPr>
        <w:spacing w:line="360" w:lineRule="auto"/>
      </w:pPr>
      <w:r>
        <w:t>S</w:t>
      </w:r>
      <w:r w:rsidR="00276357" w:rsidRPr="0065702D">
        <w:t>alaries fixed in an employment contract, an appointment decision (both hereinafter referred to as ‘employment document’) or by law, relating to responsibilities specified in the job description of the staff member concerned and related to activities which the project partner would not otherwise carry out if the project was not undertaken</w:t>
      </w:r>
      <w:r>
        <w:t>.</w:t>
      </w:r>
    </w:p>
    <w:p w14:paraId="726C0948" w14:textId="34F0FFB6" w:rsidR="00276357" w:rsidRPr="0065702D" w:rsidRDefault="005B20FD" w:rsidP="003C58C0">
      <w:pPr>
        <w:pStyle w:val="ListParagraph"/>
        <w:numPr>
          <w:ilvl w:val="0"/>
          <w:numId w:val="22"/>
        </w:numPr>
        <w:spacing w:line="360" w:lineRule="auto"/>
      </w:pPr>
      <w:r>
        <w:t>A</w:t>
      </w:r>
      <w:r w:rsidR="00276357" w:rsidRPr="0065702D">
        <w:t>ny other costs directly linked to salary payments incurred and paid by the project partner (employer), such as income taxes and social security contributions, provided that they are:</w:t>
      </w:r>
    </w:p>
    <w:p w14:paraId="394A289E" w14:textId="77777777" w:rsidR="005220AC" w:rsidRPr="0065702D" w:rsidRDefault="00276357" w:rsidP="003C58C0">
      <w:pPr>
        <w:pStyle w:val="ListParagraph"/>
        <w:numPr>
          <w:ilvl w:val="0"/>
          <w:numId w:val="6"/>
        </w:numPr>
        <w:spacing w:line="360" w:lineRule="auto"/>
      </w:pPr>
      <w:r w:rsidRPr="0065702D">
        <w:t>fixed in an employment document or by law;</w:t>
      </w:r>
    </w:p>
    <w:p w14:paraId="3B581967" w14:textId="538F3DFE" w:rsidR="00276357" w:rsidRPr="0065702D" w:rsidRDefault="00276357" w:rsidP="003C58C0">
      <w:pPr>
        <w:pStyle w:val="ListParagraph"/>
        <w:numPr>
          <w:ilvl w:val="0"/>
          <w:numId w:val="6"/>
        </w:numPr>
        <w:spacing w:line="360" w:lineRule="auto"/>
      </w:pPr>
      <w:r w:rsidRPr="0065702D">
        <w:t>in accordance with the legislation referred to in the employment document and with standard practices in the country and/or project partner organisation; and not recoverable by the employer.</w:t>
      </w:r>
    </w:p>
    <w:p w14:paraId="07E980F6" w14:textId="649BB82B" w:rsidR="00276357" w:rsidRPr="001E4FF4" w:rsidRDefault="00276357"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Examples of eligible expenditure:</w:t>
      </w:r>
    </w:p>
    <w:p w14:paraId="4CECEAE7" w14:textId="4E834247" w:rsidR="00276357" w:rsidRPr="0065702D" w:rsidRDefault="005B20FD" w:rsidP="003C58C0">
      <w:pPr>
        <w:pStyle w:val="ListParagraph"/>
        <w:numPr>
          <w:ilvl w:val="0"/>
          <w:numId w:val="22"/>
        </w:numPr>
        <w:spacing w:line="360" w:lineRule="auto"/>
      </w:pPr>
      <w:r>
        <w:t>G</w:t>
      </w:r>
      <w:r w:rsidR="00276357" w:rsidRPr="0065702D">
        <w:t>ross basic salary</w:t>
      </w:r>
      <w:r>
        <w:t>.</w:t>
      </w:r>
    </w:p>
    <w:p w14:paraId="37FC7197" w14:textId="39E794D1" w:rsidR="00276357" w:rsidRPr="0065702D" w:rsidRDefault="005B20FD" w:rsidP="003C58C0">
      <w:pPr>
        <w:pStyle w:val="ListParagraph"/>
        <w:numPr>
          <w:ilvl w:val="0"/>
          <w:numId w:val="22"/>
        </w:numPr>
        <w:spacing w:line="360" w:lineRule="auto"/>
      </w:pPr>
      <w:r>
        <w:t>A</w:t>
      </w:r>
      <w:r w:rsidR="00276357" w:rsidRPr="0065702D">
        <w:t>dvance payments for personal income tax</w:t>
      </w:r>
      <w:r>
        <w:t>.</w:t>
      </w:r>
    </w:p>
    <w:p w14:paraId="6A9E873E" w14:textId="640AFFBC" w:rsidR="00276357" w:rsidRPr="0065702D" w:rsidRDefault="005B20FD" w:rsidP="003C58C0">
      <w:pPr>
        <w:pStyle w:val="ListParagraph"/>
        <w:numPr>
          <w:ilvl w:val="0"/>
          <w:numId w:val="22"/>
        </w:numPr>
        <w:spacing w:line="360" w:lineRule="auto"/>
      </w:pPr>
      <w:r>
        <w:t>C</w:t>
      </w:r>
      <w:r w:rsidR="00276357" w:rsidRPr="0065702D">
        <w:t>harges on health insurance and social security</w:t>
      </w:r>
      <w:r>
        <w:t>.</w:t>
      </w:r>
    </w:p>
    <w:p w14:paraId="5EB74A1C" w14:textId="7EED10EA" w:rsidR="00276357" w:rsidRPr="0065702D" w:rsidRDefault="005B20FD" w:rsidP="003C58C0">
      <w:pPr>
        <w:pStyle w:val="ListParagraph"/>
        <w:numPr>
          <w:ilvl w:val="0"/>
          <w:numId w:val="22"/>
        </w:numPr>
        <w:spacing w:line="360" w:lineRule="auto"/>
      </w:pPr>
      <w:r>
        <w:t>A</w:t>
      </w:r>
      <w:r w:rsidR="00276357" w:rsidRPr="0065702D">
        <w:t>dditional annual salary together with contributions paid by the employer</w:t>
      </w:r>
      <w:r>
        <w:t>.</w:t>
      </w:r>
    </w:p>
    <w:p w14:paraId="38A3064A" w14:textId="39423A8A" w:rsidR="00276357" w:rsidRPr="0065702D" w:rsidRDefault="005B20FD" w:rsidP="003C58C0">
      <w:pPr>
        <w:pStyle w:val="ListParagraph"/>
        <w:numPr>
          <w:ilvl w:val="0"/>
          <w:numId w:val="22"/>
        </w:numPr>
        <w:spacing w:line="360" w:lineRule="auto"/>
      </w:pPr>
      <w:r>
        <w:t>B</w:t>
      </w:r>
      <w:r w:rsidR="00276357" w:rsidRPr="0065702D">
        <w:t xml:space="preserve">onuses and rewards, as well as benefits related to salaries (functional, task-based ones), provided that they were granted in accordance with the applicable provisions of </w:t>
      </w:r>
      <w:r w:rsidR="00B61738" w:rsidRPr="0065702D">
        <w:t xml:space="preserve">the </w:t>
      </w:r>
      <w:r w:rsidR="00276357" w:rsidRPr="0065702D">
        <w:t>labour law, the salary regulations of the project partner institution and in relation to the project under implementation</w:t>
      </w:r>
      <w:r>
        <w:t>.</w:t>
      </w:r>
    </w:p>
    <w:p w14:paraId="613510DC" w14:textId="277FA9F5" w:rsidR="00276357" w:rsidRPr="0065702D" w:rsidRDefault="005B20FD" w:rsidP="003C58C0">
      <w:pPr>
        <w:pStyle w:val="ListParagraph"/>
        <w:numPr>
          <w:ilvl w:val="0"/>
          <w:numId w:val="22"/>
        </w:numPr>
        <w:spacing w:line="360" w:lineRule="auto"/>
      </w:pPr>
      <w:r>
        <w:lastRenderedPageBreak/>
        <w:t>C</w:t>
      </w:r>
      <w:r w:rsidR="00276357" w:rsidRPr="0065702D">
        <w:t xml:space="preserve">ompensation for unused paid leave pursuant to the provisions of </w:t>
      </w:r>
      <w:r w:rsidR="00A56DFE" w:rsidRPr="0065702D">
        <w:t>labour</w:t>
      </w:r>
      <w:r w:rsidR="00276357" w:rsidRPr="0065702D">
        <w:t xml:space="preserve"> law</w:t>
      </w:r>
      <w:r w:rsidR="00A56DFE" w:rsidRPr="0065702D">
        <w:t>.</w:t>
      </w:r>
    </w:p>
    <w:p w14:paraId="588C67B3" w14:textId="31F94E64" w:rsidR="00276357" w:rsidRPr="001E4FF4" w:rsidRDefault="00276357"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Examples of ineligible expenditure:</w:t>
      </w:r>
    </w:p>
    <w:p w14:paraId="117F33DC" w14:textId="66DF8ED6" w:rsidR="00276357" w:rsidRPr="0065702D" w:rsidRDefault="005B20FD" w:rsidP="003C58C0">
      <w:pPr>
        <w:pStyle w:val="ListParagraph"/>
        <w:numPr>
          <w:ilvl w:val="0"/>
          <w:numId w:val="22"/>
        </w:numPr>
        <w:spacing w:line="360" w:lineRule="auto"/>
      </w:pPr>
      <w:r>
        <w:t>J</w:t>
      </w:r>
      <w:r w:rsidR="00276357" w:rsidRPr="0065702D">
        <w:t>ubilee awards</w:t>
      </w:r>
      <w:r>
        <w:t>.</w:t>
      </w:r>
    </w:p>
    <w:p w14:paraId="57F53505" w14:textId="6BF77D2A" w:rsidR="00276357" w:rsidRPr="0065702D" w:rsidRDefault="005B20FD" w:rsidP="003C58C0">
      <w:pPr>
        <w:pStyle w:val="ListParagraph"/>
        <w:numPr>
          <w:ilvl w:val="0"/>
          <w:numId w:val="22"/>
        </w:numPr>
        <w:spacing w:line="360" w:lineRule="auto"/>
      </w:pPr>
      <w:r>
        <w:t>B</w:t>
      </w:r>
      <w:r w:rsidR="00276357" w:rsidRPr="0065702D">
        <w:t>enefits financed from the state budget</w:t>
      </w:r>
      <w:r>
        <w:t>.</w:t>
      </w:r>
    </w:p>
    <w:p w14:paraId="74FFE032" w14:textId="0C4D5685" w:rsidR="00276357" w:rsidRPr="0065702D" w:rsidRDefault="005B20FD" w:rsidP="003C58C0">
      <w:pPr>
        <w:pStyle w:val="ListParagraph"/>
        <w:numPr>
          <w:ilvl w:val="0"/>
          <w:numId w:val="22"/>
        </w:numPr>
        <w:spacing w:line="360" w:lineRule="auto"/>
      </w:pPr>
      <w:r>
        <w:t>C</w:t>
      </w:r>
      <w:r w:rsidR="00276357" w:rsidRPr="0065702D">
        <w:t>osts of contributions and optional fees which are not required by the applicable national law or internal regulation of a given institution</w:t>
      </w:r>
      <w:r>
        <w:t>.</w:t>
      </w:r>
    </w:p>
    <w:p w14:paraId="1748E723" w14:textId="700B61C5" w:rsidR="00276357" w:rsidRPr="0065702D" w:rsidRDefault="005B20FD" w:rsidP="003C58C0">
      <w:pPr>
        <w:pStyle w:val="ListParagraph"/>
        <w:numPr>
          <w:ilvl w:val="0"/>
          <w:numId w:val="22"/>
        </w:numPr>
        <w:spacing w:line="360" w:lineRule="auto"/>
      </w:pPr>
      <w:r>
        <w:t>C</w:t>
      </w:r>
      <w:r w:rsidR="00276357" w:rsidRPr="0065702D">
        <w:t>osts of additional health care services covered by the employee through the employer;</w:t>
      </w:r>
    </w:p>
    <w:p w14:paraId="38E1671C" w14:textId="38AC65B9" w:rsidR="00276357" w:rsidRPr="0065702D" w:rsidRDefault="005B20FD" w:rsidP="003C58C0">
      <w:pPr>
        <w:pStyle w:val="ListParagraph"/>
        <w:numPr>
          <w:ilvl w:val="0"/>
          <w:numId w:val="22"/>
        </w:numPr>
        <w:spacing w:line="360" w:lineRule="auto"/>
      </w:pPr>
      <w:r>
        <w:t>S</w:t>
      </w:r>
      <w:r w:rsidR="00276357" w:rsidRPr="0065702D">
        <w:t>everance pay</w:t>
      </w:r>
      <w:r>
        <w:t>.</w:t>
      </w:r>
    </w:p>
    <w:p w14:paraId="645DD4A2" w14:textId="4E1E4B8D" w:rsidR="002C7DA6" w:rsidRPr="0065702D" w:rsidRDefault="005B20FD" w:rsidP="003C58C0">
      <w:pPr>
        <w:pStyle w:val="ListParagraph"/>
        <w:numPr>
          <w:ilvl w:val="0"/>
          <w:numId w:val="22"/>
        </w:numPr>
        <w:spacing w:line="360" w:lineRule="auto"/>
      </w:pPr>
      <w:r>
        <w:t>P</w:t>
      </w:r>
      <w:r w:rsidR="00276357" w:rsidRPr="0065702D">
        <w:t>ension severance pay.</w:t>
      </w:r>
    </w:p>
    <w:p w14:paraId="3E0D9513" w14:textId="1C995688" w:rsidR="00AA41AC" w:rsidRPr="00C223C5" w:rsidRDefault="0072780D" w:rsidP="003C58C0">
      <w:pPr>
        <w:pStyle w:val="Heading3"/>
        <w:spacing w:line="360" w:lineRule="auto"/>
      </w:pPr>
      <w:bookmarkStart w:id="84" w:name="_Toc147242409"/>
      <w:r w:rsidRPr="00C223C5">
        <w:t xml:space="preserve">3.3 </w:t>
      </w:r>
      <w:r w:rsidR="00AA41AC" w:rsidRPr="00C223C5">
        <w:t>Office and administration</w:t>
      </w:r>
      <w:bookmarkEnd w:id="84"/>
    </w:p>
    <w:p w14:paraId="0517525D" w14:textId="687ECD83" w:rsidR="00450431" w:rsidRPr="00BE17E7" w:rsidRDefault="00AA41AC" w:rsidP="003C58C0">
      <w:pPr>
        <w:spacing w:line="360" w:lineRule="auto"/>
      </w:pPr>
      <w:r w:rsidRPr="00BE17E7">
        <w:t>The cost category for office and administration covers indirect costs for operating and the administrative expenses of partners who support</w:t>
      </w:r>
      <w:r w:rsidR="009D2346" w:rsidRPr="00BE17E7">
        <w:t xml:space="preserve"> the</w:t>
      </w:r>
      <w:r w:rsidRPr="00BE17E7">
        <w:t xml:space="preserve"> delivery of project activities. These costs are indirect costs as they are not </w:t>
      </w:r>
      <w:r w:rsidR="009D2346" w:rsidRPr="00BE17E7">
        <w:t xml:space="preserve">and </w:t>
      </w:r>
      <w:r w:rsidRPr="00BE17E7">
        <w:t xml:space="preserve">cannot be related to an individual activity. </w:t>
      </w:r>
    </w:p>
    <w:p w14:paraId="4A1D940D" w14:textId="77777777" w:rsidR="00450431" w:rsidRPr="00BE17E7" w:rsidRDefault="00AA41AC" w:rsidP="003C58C0">
      <w:pPr>
        <w:spacing w:line="360" w:lineRule="auto"/>
      </w:pPr>
      <w:r w:rsidRPr="00BE17E7">
        <w:t xml:space="preserve">The Programme uses a flat rate for calculating and reporting indirect costs of office and administrative expenditure. </w:t>
      </w:r>
    </w:p>
    <w:p w14:paraId="0A945A4E" w14:textId="31C0BA2B" w:rsidR="007A0F5F" w:rsidRPr="00BE17E7" w:rsidRDefault="00AA41AC" w:rsidP="003C58C0">
      <w:pPr>
        <w:spacing w:line="360" w:lineRule="auto"/>
      </w:pPr>
      <w:r w:rsidRPr="00BE17E7">
        <w:t>Costs under the office and administration category are calculated as a flat rate of 15% of eligible staff costs</w:t>
      </w:r>
      <w:bookmarkStart w:id="85" w:name="_Hlk112404345"/>
      <w:r w:rsidR="008F460F" w:rsidRPr="00BE17E7">
        <w:t>.</w:t>
      </w:r>
    </w:p>
    <w:p w14:paraId="0E4AC6C5" w14:textId="27E1555B" w:rsidR="00AA41AC" w:rsidRPr="00BE17E7" w:rsidRDefault="00AA41AC" w:rsidP="003C58C0">
      <w:pPr>
        <w:spacing w:line="360" w:lineRule="auto"/>
      </w:pPr>
      <w:r w:rsidRPr="00BE17E7">
        <w:t xml:space="preserve">The amount of indirect costs calculated as a flat rate depends on </w:t>
      </w:r>
      <w:r w:rsidR="009D2346" w:rsidRPr="00BE17E7">
        <w:t xml:space="preserve">the </w:t>
      </w:r>
      <w:r w:rsidRPr="00BE17E7">
        <w:t>expenditures reported and approved in a given progress report and any deductions made within the project (e.g., due to financial corrections).</w:t>
      </w:r>
    </w:p>
    <w:bookmarkEnd w:id="85"/>
    <w:p w14:paraId="65B82910" w14:textId="321BD921" w:rsidR="00AA41AC" w:rsidRPr="00BE17E7" w:rsidRDefault="00AA41AC" w:rsidP="003C58C0">
      <w:pPr>
        <w:spacing w:line="360" w:lineRule="auto"/>
      </w:pPr>
      <w:r w:rsidRPr="00BE17E7">
        <w:lastRenderedPageBreak/>
        <w:t>Direct costs falling under this category are not eligible. An all-inclusive list of cost categories covered by the flat rate is defined below (these cost items cannot be reported under any other cost category).</w:t>
      </w:r>
    </w:p>
    <w:p w14:paraId="0264FC3F" w14:textId="3E97D3F9" w:rsidR="00AA41AC" w:rsidRPr="00BE17E7" w:rsidRDefault="00AA41AC" w:rsidP="003C58C0">
      <w:pPr>
        <w:spacing w:line="360" w:lineRule="auto"/>
      </w:pPr>
      <w:r w:rsidRPr="00BE17E7">
        <w:t>Expenditure included in the flat rate for office and administration</w:t>
      </w:r>
      <w:r w:rsidR="001C2B0A" w:rsidRPr="00BE17E7">
        <w:t>:</w:t>
      </w:r>
    </w:p>
    <w:p w14:paraId="31987E62" w14:textId="483A9839" w:rsidR="00AA41AC" w:rsidRPr="00BE17E7" w:rsidRDefault="005F48F4" w:rsidP="003C58C0">
      <w:pPr>
        <w:pStyle w:val="ListParagraph"/>
        <w:numPr>
          <w:ilvl w:val="0"/>
          <w:numId w:val="22"/>
        </w:numPr>
        <w:spacing w:line="360" w:lineRule="auto"/>
      </w:pPr>
      <w:r>
        <w:t>O</w:t>
      </w:r>
      <w:r w:rsidR="00AA41AC" w:rsidRPr="00BE17E7">
        <w:t>ffice rent</w:t>
      </w:r>
      <w:r>
        <w:t>.</w:t>
      </w:r>
    </w:p>
    <w:p w14:paraId="42353F42" w14:textId="005CE880" w:rsidR="00AA41AC" w:rsidRPr="00BE17E7" w:rsidRDefault="005F48F4" w:rsidP="003C58C0">
      <w:pPr>
        <w:pStyle w:val="ListParagraph"/>
        <w:numPr>
          <w:ilvl w:val="0"/>
          <w:numId w:val="22"/>
        </w:numPr>
        <w:spacing w:line="360" w:lineRule="auto"/>
      </w:pPr>
      <w:r>
        <w:t>I</w:t>
      </w:r>
      <w:r w:rsidR="00AA41AC" w:rsidRPr="00BE17E7">
        <w:t>nsurance and taxes related to maintenance of the buildings where project staff are located and to the office equipment (e.g., fire insurance, theft insurance)</w:t>
      </w:r>
      <w:r>
        <w:t>.</w:t>
      </w:r>
    </w:p>
    <w:p w14:paraId="0FC88FA9" w14:textId="277E837B" w:rsidR="00AA41AC" w:rsidRPr="00BE17E7" w:rsidRDefault="005F48F4" w:rsidP="003C58C0">
      <w:pPr>
        <w:pStyle w:val="ListParagraph"/>
        <w:numPr>
          <w:ilvl w:val="0"/>
          <w:numId w:val="22"/>
        </w:numPr>
        <w:spacing w:line="360" w:lineRule="auto"/>
      </w:pPr>
      <w:r>
        <w:t>U</w:t>
      </w:r>
      <w:r w:rsidR="00AA41AC" w:rsidRPr="00BE17E7">
        <w:t>tilities (e.g., electricity, heating, water)</w:t>
      </w:r>
      <w:r>
        <w:t>.</w:t>
      </w:r>
    </w:p>
    <w:p w14:paraId="1C3C0137" w14:textId="3E11A635" w:rsidR="00AA41AC" w:rsidRPr="00BE17E7" w:rsidRDefault="005F48F4" w:rsidP="003C58C0">
      <w:pPr>
        <w:pStyle w:val="ListParagraph"/>
        <w:numPr>
          <w:ilvl w:val="0"/>
          <w:numId w:val="22"/>
        </w:numPr>
        <w:spacing w:line="360" w:lineRule="auto"/>
      </w:pPr>
      <w:r>
        <w:t>O</w:t>
      </w:r>
      <w:r w:rsidR="00AA41AC" w:rsidRPr="00BE17E7">
        <w:t>ffice supplies</w:t>
      </w:r>
      <w:r>
        <w:t>.</w:t>
      </w:r>
    </w:p>
    <w:p w14:paraId="45076502" w14:textId="252E98AF" w:rsidR="00AA41AC" w:rsidRPr="00BE17E7" w:rsidRDefault="005F48F4" w:rsidP="003C58C0">
      <w:pPr>
        <w:pStyle w:val="ListParagraph"/>
        <w:numPr>
          <w:ilvl w:val="0"/>
          <w:numId w:val="22"/>
        </w:numPr>
        <w:spacing w:line="360" w:lineRule="auto"/>
      </w:pPr>
      <w:r>
        <w:t>G</w:t>
      </w:r>
      <w:r w:rsidR="00AA41AC" w:rsidRPr="00BE17E7">
        <w:t xml:space="preserve">eneral accounting provided inside the project partner </w:t>
      </w:r>
      <w:r>
        <w:t>organization.</w:t>
      </w:r>
    </w:p>
    <w:p w14:paraId="47BAE940" w14:textId="426FCFE4" w:rsidR="00AA41AC" w:rsidRPr="00BE17E7" w:rsidRDefault="005F48F4" w:rsidP="003C58C0">
      <w:pPr>
        <w:pStyle w:val="ListParagraph"/>
        <w:numPr>
          <w:ilvl w:val="0"/>
          <w:numId w:val="22"/>
        </w:numPr>
        <w:spacing w:line="360" w:lineRule="auto"/>
      </w:pPr>
      <w:r>
        <w:t>A</w:t>
      </w:r>
      <w:r w:rsidR="00AA41AC" w:rsidRPr="00BE17E7">
        <w:t>rchives</w:t>
      </w:r>
      <w:r>
        <w:t>.</w:t>
      </w:r>
    </w:p>
    <w:p w14:paraId="689308D3" w14:textId="1B7DF7A9" w:rsidR="00AA41AC" w:rsidRPr="00BE17E7" w:rsidRDefault="005F48F4" w:rsidP="003C58C0">
      <w:pPr>
        <w:pStyle w:val="ListParagraph"/>
        <w:numPr>
          <w:ilvl w:val="0"/>
          <w:numId w:val="22"/>
        </w:numPr>
        <w:spacing w:line="360" w:lineRule="auto"/>
      </w:pPr>
      <w:r>
        <w:t>M</w:t>
      </w:r>
      <w:r w:rsidR="00AA41AC" w:rsidRPr="00BE17E7">
        <w:t>aintenance, cleaning and repairs</w:t>
      </w:r>
      <w:r>
        <w:t>.</w:t>
      </w:r>
    </w:p>
    <w:p w14:paraId="6BC678EA" w14:textId="7B3598E8" w:rsidR="00AA41AC" w:rsidRPr="00BE17E7" w:rsidRDefault="005F48F4" w:rsidP="003C58C0">
      <w:pPr>
        <w:pStyle w:val="ListParagraph"/>
        <w:numPr>
          <w:ilvl w:val="0"/>
          <w:numId w:val="22"/>
        </w:numPr>
        <w:spacing w:line="360" w:lineRule="auto"/>
      </w:pPr>
      <w:r>
        <w:t>S</w:t>
      </w:r>
      <w:r w:rsidR="00AA41AC" w:rsidRPr="00BE17E7">
        <w:t>ecurity</w:t>
      </w:r>
      <w:r>
        <w:t>.</w:t>
      </w:r>
    </w:p>
    <w:p w14:paraId="3819A949" w14:textId="45181E3F" w:rsidR="00AA41AC" w:rsidRPr="00BE17E7" w:rsidRDefault="005F48F4" w:rsidP="003C58C0">
      <w:pPr>
        <w:pStyle w:val="ListParagraph"/>
        <w:numPr>
          <w:ilvl w:val="0"/>
          <w:numId w:val="22"/>
        </w:numPr>
        <w:spacing w:line="360" w:lineRule="auto"/>
      </w:pPr>
      <w:r>
        <w:t>O</w:t>
      </w:r>
      <w:r w:rsidR="00AA41AC" w:rsidRPr="00BE17E7">
        <w:t>ffice and administration IT systems used to support the implementation of the project</w:t>
      </w:r>
      <w:r>
        <w:t>.</w:t>
      </w:r>
    </w:p>
    <w:p w14:paraId="4B802E29" w14:textId="32D72FC9" w:rsidR="00AA41AC" w:rsidRPr="00BE17E7" w:rsidRDefault="005F48F4" w:rsidP="003C58C0">
      <w:pPr>
        <w:pStyle w:val="ListParagraph"/>
        <w:numPr>
          <w:ilvl w:val="0"/>
          <w:numId w:val="22"/>
        </w:numPr>
        <w:spacing w:line="360" w:lineRule="auto"/>
      </w:pPr>
      <w:r>
        <w:t>C</w:t>
      </w:r>
      <w:r w:rsidR="00AA41AC" w:rsidRPr="00BE17E7">
        <w:t xml:space="preserve">ommunication (e.g., telephone, fax, </w:t>
      </w:r>
      <w:r w:rsidR="009D2346" w:rsidRPr="00BE17E7">
        <w:t>Internet</w:t>
      </w:r>
      <w:r w:rsidR="00AA41AC" w:rsidRPr="00BE17E7">
        <w:t>, postal services, business cards)</w:t>
      </w:r>
      <w:r>
        <w:t>.</w:t>
      </w:r>
    </w:p>
    <w:p w14:paraId="0F77B02B" w14:textId="314CCA9C" w:rsidR="00AA41AC" w:rsidRPr="00BE17E7" w:rsidRDefault="005F48F4" w:rsidP="003C58C0">
      <w:pPr>
        <w:pStyle w:val="ListParagraph"/>
        <w:numPr>
          <w:ilvl w:val="0"/>
          <w:numId w:val="22"/>
        </w:numPr>
        <w:spacing w:line="360" w:lineRule="auto"/>
      </w:pPr>
      <w:r>
        <w:t>B</w:t>
      </w:r>
      <w:r w:rsidR="00AA41AC" w:rsidRPr="00BE17E7">
        <w:t>ank charges for opening and administering the account or accounts where the implementation of an operation requires a separate account to be opened</w:t>
      </w:r>
      <w:r>
        <w:t>.</w:t>
      </w:r>
    </w:p>
    <w:p w14:paraId="7DAE09DB" w14:textId="78B26D7E" w:rsidR="00AA41AC" w:rsidRDefault="005F48F4" w:rsidP="003C58C0">
      <w:pPr>
        <w:pStyle w:val="ListParagraph"/>
        <w:numPr>
          <w:ilvl w:val="0"/>
          <w:numId w:val="22"/>
        </w:numPr>
        <w:spacing w:line="360" w:lineRule="auto"/>
      </w:pPr>
      <w:r>
        <w:t>C</w:t>
      </w:r>
      <w:r w:rsidR="00AA41AC" w:rsidRPr="00BE17E7">
        <w:t>harges for transnational financial transactions.</w:t>
      </w:r>
    </w:p>
    <w:p w14:paraId="6A933D6D" w14:textId="5AAC6566" w:rsidR="00AA41AC" w:rsidRPr="00AA41AC" w:rsidRDefault="0060298F" w:rsidP="003C58C0">
      <w:pPr>
        <w:spacing w:line="360" w:lineRule="auto"/>
        <w:rPr>
          <w:lang w:val="en-GB"/>
        </w:rPr>
      </w:pPr>
      <w:r w:rsidRPr="008D61AB">
        <w:rPr>
          <w:noProof/>
        </w:rPr>
        <mc:AlternateContent>
          <mc:Choice Requires="wps">
            <w:drawing>
              <wp:inline distT="0" distB="0" distL="0" distR="0" wp14:anchorId="22BAED39" wp14:editId="782B5E26">
                <wp:extent cx="5772785" cy="325755"/>
                <wp:effectExtent l="0" t="0" r="18415" b="17145"/>
                <wp:docPr id="1560197438"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785" cy="326003"/>
                        </a:xfrm>
                        <a:prstGeom prst="rect">
                          <a:avLst/>
                        </a:prstGeom>
                        <a:ln w="12700">
                          <a:solidFill>
                            <a:srgbClr val="003399"/>
                          </a:solidFill>
                          <a:prstDash val="solid"/>
                        </a:ln>
                      </wps:spPr>
                      <wps:txbx>
                        <w:txbxContent>
                          <w:p w14:paraId="0B15B423" w14:textId="77777777" w:rsidR="0060298F" w:rsidRPr="001E4FF4" w:rsidRDefault="0060298F" w:rsidP="0060298F">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These cost items cannot be reported under any other cost category.</w:t>
                            </w:r>
                          </w:p>
                        </w:txbxContent>
                      </wps:txbx>
                      <wps:bodyPr wrap="square" lIns="0" tIns="0" rIns="0" bIns="0" rtlCol="0">
                        <a:noAutofit/>
                      </wps:bodyPr>
                    </wps:wsp>
                  </a:graphicData>
                </a:graphic>
              </wp:inline>
            </w:drawing>
          </mc:Choice>
          <mc:Fallback>
            <w:pict>
              <v:shape w14:anchorId="22BAED39" id="_x0000_s1054" type="#_x0000_t202" style="width:454.55pt;height:2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" filled="f" strokecolor="#039" strokeweight="1pt">
                <v:path arrowok="t"/>
                <v:textbox inset="0,0,0,0">
                  <w:txbxContent>
                    <w:p w14:paraId="0B15B423" w14:textId="77777777" w:rsidR="0060298F" w:rsidRPr="001E4FF4" w:rsidRDefault="0060298F" w:rsidP="0060298F">
                      <w:pPr>
                        <w:pStyle w:val="BodyText"/>
                        <w:rPr>
                          <w:rFonts w:ascii="Open Sans" w:eastAsiaTheme="minorHAnsi" w:hAnsi="Open Sans" w:cstheme="minorBidi"/>
                          <w:color w:val="auto"/>
                          <w:sz w:val="24"/>
                          <w:szCs w:val="22"/>
                          <w:lang w:eastAsia="en-US"/>
                        </w:rPr>
                      </w:pPr>
                      <w:r w:rsidRPr="001E4FF4">
                        <w:rPr>
                          <w:rFonts w:ascii="Open Sans" w:eastAsiaTheme="minorHAnsi" w:hAnsi="Open Sans" w:cstheme="minorBidi"/>
                          <w:color w:val="auto"/>
                          <w:sz w:val="24"/>
                          <w:szCs w:val="22"/>
                          <w:lang w:eastAsia="en-US"/>
                        </w:rPr>
                        <w:t>These cost items cannot be reported under any other cost category.</w:t>
                      </w:r>
                    </w:p>
                  </w:txbxContent>
                </v:textbox>
                <w10:anchorlock/>
              </v:shape>
            </w:pict>
          </mc:Fallback>
        </mc:AlternateContent>
      </w:r>
    </w:p>
    <w:p w14:paraId="435778F2" w14:textId="3FA98EFD" w:rsidR="00AA41AC" w:rsidRPr="00BE17E7" w:rsidRDefault="0072780D" w:rsidP="003C58C0">
      <w:pPr>
        <w:pStyle w:val="Heading3"/>
        <w:spacing w:line="360" w:lineRule="auto"/>
        <w:rPr>
          <w:rFonts w:ascii="Open Sans SemiBold" w:hAnsi="Open Sans SemiBold" w:cs="Open Sans SemiBold"/>
          <w:b/>
        </w:rPr>
      </w:pPr>
      <w:bookmarkStart w:id="86" w:name="_Toc147242410"/>
      <w:r w:rsidRPr="00C223C5">
        <w:lastRenderedPageBreak/>
        <w:t xml:space="preserve">3.4 </w:t>
      </w:r>
      <w:r w:rsidR="00AA41AC" w:rsidRPr="00C223C5">
        <w:t>Travel and accommodation</w:t>
      </w:r>
      <w:r w:rsidR="00450431" w:rsidRPr="00C223C5">
        <w:t xml:space="preserve"> for project staff</w:t>
      </w:r>
      <w:bookmarkEnd w:id="86"/>
    </w:p>
    <w:p w14:paraId="14C5D64B" w14:textId="04BAB4F2" w:rsidR="00C00849" w:rsidRPr="001E4FF4" w:rsidRDefault="00AA41AC"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The Programme uses a flat rate for calculating and reporting travel and accommodation expenditure</w:t>
      </w:r>
      <w:r w:rsidR="00450431" w:rsidRPr="001E4FF4">
        <w:rPr>
          <w:rFonts w:ascii="Open Sans SemiBold" w:eastAsia="Open Sans SemiBold" w:hAnsi="Open Sans SemiBold" w:cs="Open Sans SemiBold"/>
          <w:bCs/>
          <w:color w:val="003399"/>
        </w:rPr>
        <w:t xml:space="preserve"> for project staff</w:t>
      </w:r>
      <w:r w:rsidRPr="001E4FF4">
        <w:rPr>
          <w:rFonts w:ascii="Open Sans SemiBold" w:eastAsia="Open Sans SemiBold" w:hAnsi="Open Sans SemiBold" w:cs="Open Sans SemiBold"/>
          <w:bCs/>
          <w:color w:val="003399"/>
        </w:rPr>
        <w:t xml:space="preserve">. </w:t>
      </w:r>
    </w:p>
    <w:p w14:paraId="2FA0937D" w14:textId="3980944B" w:rsidR="00450431" w:rsidRPr="00964D04" w:rsidRDefault="00450431" w:rsidP="003C58C0">
      <w:pPr>
        <w:spacing w:line="360" w:lineRule="auto"/>
      </w:pPr>
      <w:r w:rsidRPr="00964D04">
        <w:t xml:space="preserve">This relates to </w:t>
      </w:r>
      <w:r w:rsidR="00D9356A" w:rsidRPr="00964D04">
        <w:t>the costs</w:t>
      </w:r>
      <w:r w:rsidRPr="00964D04">
        <w:t xml:space="preserve"> of (domestic and foreign) travel, necessary to </w:t>
      </w:r>
      <w:r w:rsidR="009D2346" w:rsidRPr="00964D04">
        <w:t xml:space="preserve">achieve </w:t>
      </w:r>
      <w:r w:rsidRPr="00964D04">
        <w:t>the objective of the project.</w:t>
      </w:r>
    </w:p>
    <w:p w14:paraId="5DB892BE" w14:textId="72246A29" w:rsidR="00450431" w:rsidRPr="00964D04" w:rsidRDefault="00AA41AC" w:rsidP="003C58C0">
      <w:pPr>
        <w:spacing w:line="360" w:lineRule="auto"/>
      </w:pPr>
      <w:r w:rsidRPr="00964D04">
        <w:t xml:space="preserve">Project partners </w:t>
      </w:r>
      <w:r w:rsidR="00D9356A" w:rsidRPr="00964D04">
        <w:t>(regardless</w:t>
      </w:r>
      <w:r w:rsidR="003C1BA1" w:rsidRPr="00964D04">
        <w:t xml:space="preserve"> of</w:t>
      </w:r>
      <w:r w:rsidR="00D9356A" w:rsidRPr="00964D04">
        <w:t xml:space="preserve"> their geographical location) w</w:t>
      </w:r>
      <w:r w:rsidRPr="00964D04">
        <w:t xml:space="preserve">ill receive a </w:t>
      </w:r>
      <w:r w:rsidRPr="00964D04">
        <w:rPr>
          <w:rFonts w:ascii="Open Sans SemiBold" w:eastAsia="Open Sans SemiBold" w:hAnsi="Open Sans SemiBold" w:cs="Open Sans SemiBold"/>
          <w:bCs/>
          <w:color w:val="003399"/>
        </w:rPr>
        <w:t>flat rate of 15%</w:t>
      </w:r>
      <w:r w:rsidRPr="00964D04">
        <w:t xml:space="preserve"> </w:t>
      </w:r>
      <w:r w:rsidR="00E8494A" w:rsidRPr="00964D04">
        <w:t xml:space="preserve">of </w:t>
      </w:r>
      <w:r w:rsidRPr="00964D04">
        <w:t>the eligible staff costs</w:t>
      </w:r>
      <w:r w:rsidR="007A0F5F" w:rsidRPr="00964D04">
        <w:t>.</w:t>
      </w:r>
      <w:r w:rsidRPr="00964D04">
        <w:t xml:space="preserve"> </w:t>
      </w:r>
    </w:p>
    <w:p w14:paraId="54A37623" w14:textId="5F876DF9" w:rsidR="00287733" w:rsidRPr="00964D04" w:rsidRDefault="00287733" w:rsidP="003C58C0">
      <w:pPr>
        <w:spacing w:line="360" w:lineRule="auto"/>
      </w:pPr>
      <w:r w:rsidRPr="00964D04">
        <w:t>The amount of</w:t>
      </w:r>
      <w:r w:rsidR="00593DCD" w:rsidRPr="00964D04">
        <w:t xml:space="preserve"> eligible</w:t>
      </w:r>
      <w:r w:rsidRPr="00964D04">
        <w:t xml:space="preserve"> </w:t>
      </w:r>
      <w:r w:rsidR="003C1BA1" w:rsidRPr="00964D04">
        <w:t>travel and accommodation</w:t>
      </w:r>
      <w:r w:rsidR="00593DCD" w:rsidRPr="00964D04">
        <w:t xml:space="preserve"> costs </w:t>
      </w:r>
      <w:r w:rsidRPr="00964D04">
        <w:t>calculated as a flat rate depends on the</w:t>
      </w:r>
      <w:r w:rsidR="003C1BA1" w:rsidRPr="00964D04">
        <w:t xml:space="preserve"> staff costs </w:t>
      </w:r>
      <w:r w:rsidRPr="00964D04">
        <w:t>reported and approved in a given progress report and any deductions made within the project (e.g., due to financial corrections).</w:t>
      </w:r>
    </w:p>
    <w:p w14:paraId="6F6C6E73" w14:textId="626B9797" w:rsidR="00AA41AC" w:rsidRPr="00964D04" w:rsidRDefault="00FE4EF9" w:rsidP="003C58C0">
      <w:pPr>
        <w:spacing w:line="360" w:lineRule="auto"/>
      </w:pPr>
      <w:r w:rsidRPr="00964D04">
        <w:t>The flat rate only covers travel and accommodation costs of a project partner’s own employees and representatives.</w:t>
      </w:r>
    </w:p>
    <w:p w14:paraId="5057D207" w14:textId="3BF38641" w:rsidR="00F36A94" w:rsidRDefault="00AA41AC" w:rsidP="003C58C0">
      <w:pPr>
        <w:spacing w:line="360" w:lineRule="auto"/>
      </w:pPr>
      <w:r w:rsidRPr="00964D04">
        <w:t xml:space="preserve">For </w:t>
      </w:r>
      <w:r w:rsidR="00593DCD" w:rsidRPr="00964D04">
        <w:t>travel and accommodation flat rate</w:t>
      </w:r>
      <w:r w:rsidR="00F36A94" w:rsidRPr="00964D04">
        <w:t>,</w:t>
      </w:r>
      <w:r w:rsidR="00F84756" w:rsidRPr="00964D04">
        <w:t xml:space="preserve"> the </w:t>
      </w:r>
      <w:r w:rsidR="008122ED" w:rsidRPr="00964D04">
        <w:t>l</w:t>
      </w:r>
      <w:r w:rsidR="00D45EFF" w:rsidRPr="00964D04">
        <w:t>ead partner</w:t>
      </w:r>
      <w:r w:rsidR="00F36A94" w:rsidRPr="00964D04">
        <w:t xml:space="preserve"> is obligated to make a statement in the CST2021 </w:t>
      </w:r>
      <w:r w:rsidR="00FB159B" w:rsidRPr="00964D04">
        <w:t>project application</w:t>
      </w:r>
      <w:r w:rsidR="00AB04FB" w:rsidRPr="00964D04">
        <w:t xml:space="preserve"> </w:t>
      </w:r>
      <w:r w:rsidR="00F36A94" w:rsidRPr="00964D04">
        <w:t xml:space="preserve">that it is </w:t>
      </w:r>
      <w:r w:rsidR="00AB04FB" w:rsidRPr="00964D04">
        <w:t>necessary for the project implementation to make business travel and bear accommodation costs.</w:t>
      </w:r>
    </w:p>
    <w:p w14:paraId="3B59FD94" w14:textId="7F3A80B2" w:rsidR="0008581E" w:rsidRPr="00964D04" w:rsidRDefault="0008581E" w:rsidP="003C58C0">
      <w:pPr>
        <w:spacing w:line="360" w:lineRule="auto"/>
      </w:pPr>
      <w:r w:rsidRPr="00372FF6">
        <w:t xml:space="preserve">Each partner who receives a flat rate for travel and accommodation costs must provide proof of travel at least once during the duration of the project, e.g., attendance list, </w:t>
      </w:r>
      <w:r w:rsidRPr="00B074DC">
        <w:t>recording of a meeting or similar evidence</w:t>
      </w:r>
      <w:r w:rsidRPr="00372FF6">
        <w:t xml:space="preserve"> (the document will serve only to confirm travel, it will not be verified financially).</w:t>
      </w:r>
      <w:r>
        <w:t xml:space="preserve"> </w:t>
      </w:r>
      <w:r w:rsidRPr="00B074DC">
        <w:t>Confirmation of travel must come from the implementation phase.</w:t>
      </w:r>
    </w:p>
    <w:p w14:paraId="2DD621CC" w14:textId="479BA965" w:rsidR="00AA41AC" w:rsidRPr="00964D04" w:rsidRDefault="00F84756" w:rsidP="003C58C0">
      <w:pPr>
        <w:spacing w:line="360" w:lineRule="auto"/>
      </w:pPr>
      <w:r w:rsidRPr="00964D04">
        <w:t>The</w:t>
      </w:r>
      <w:r w:rsidR="00AA41AC" w:rsidRPr="00964D04">
        <w:t xml:space="preserve"> project partners do not need to provide any supporting documentation (i.e., no invoices, no proof of payment, etc</w:t>
      </w:r>
      <w:r w:rsidR="007636CB" w:rsidRPr="00964D04">
        <w:t>.</w:t>
      </w:r>
      <w:r w:rsidR="00AA41AC" w:rsidRPr="00964D04">
        <w:t xml:space="preserve">). The flat rate will be calculated based on the </w:t>
      </w:r>
      <w:r w:rsidR="00FE4EF9" w:rsidRPr="00964D04">
        <w:t>eligible</w:t>
      </w:r>
      <w:r w:rsidR="00AA41AC" w:rsidRPr="00964D04">
        <w:t xml:space="preserve"> staff costs.</w:t>
      </w:r>
    </w:p>
    <w:p w14:paraId="0ADB57DE" w14:textId="70DC5D9C" w:rsidR="00AA41AC" w:rsidRPr="001E4FF4" w:rsidRDefault="00AA41AC"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Travel and accommodation costs covered by the flat rate:</w:t>
      </w:r>
    </w:p>
    <w:p w14:paraId="05A01C5F" w14:textId="3D4944EF" w:rsidR="00AA41AC" w:rsidRPr="00964D04" w:rsidRDefault="005F48F4" w:rsidP="003C58C0">
      <w:pPr>
        <w:pStyle w:val="ListParagraph"/>
        <w:numPr>
          <w:ilvl w:val="0"/>
          <w:numId w:val="22"/>
        </w:numPr>
        <w:spacing w:line="360" w:lineRule="auto"/>
      </w:pPr>
      <w:r>
        <w:lastRenderedPageBreak/>
        <w:t>T</w:t>
      </w:r>
      <w:r w:rsidR="00AA41AC" w:rsidRPr="00964D04">
        <w:t>ravel costs (e.g., tickets, car mileage, tolls, parking fees</w:t>
      </w:r>
      <w:r w:rsidR="007636CB" w:rsidRPr="00964D04">
        <w:t>,</w:t>
      </w:r>
      <w:r w:rsidR="00AA41AC" w:rsidRPr="00964D04">
        <w:t xml:space="preserve"> etc.)</w:t>
      </w:r>
      <w:r>
        <w:t>.</w:t>
      </w:r>
    </w:p>
    <w:p w14:paraId="6A6D1877" w14:textId="0517B153" w:rsidR="00AA41AC" w:rsidRPr="00964D04" w:rsidRDefault="005F48F4" w:rsidP="003C58C0">
      <w:pPr>
        <w:pStyle w:val="ListParagraph"/>
        <w:numPr>
          <w:ilvl w:val="0"/>
          <w:numId w:val="22"/>
        </w:numPr>
        <w:spacing w:line="360" w:lineRule="auto"/>
      </w:pPr>
      <w:r>
        <w:t>C</w:t>
      </w:r>
      <w:r w:rsidR="00AA41AC" w:rsidRPr="00964D04">
        <w:t>osts of meals</w:t>
      </w:r>
      <w:r w:rsidR="00217639" w:rsidRPr="00964D04">
        <w:t xml:space="preserve"> during travels</w:t>
      </w:r>
      <w:r>
        <w:t>.</w:t>
      </w:r>
    </w:p>
    <w:p w14:paraId="765070A8" w14:textId="25210492" w:rsidR="00AA41AC" w:rsidRPr="00964D04" w:rsidRDefault="005F48F4" w:rsidP="003C58C0">
      <w:pPr>
        <w:pStyle w:val="ListParagraph"/>
        <w:numPr>
          <w:ilvl w:val="0"/>
          <w:numId w:val="22"/>
        </w:numPr>
        <w:spacing w:line="360" w:lineRule="auto"/>
      </w:pPr>
      <w:r>
        <w:t>A</w:t>
      </w:r>
      <w:r w:rsidR="00AA41AC" w:rsidRPr="00964D04">
        <w:t>ccommodation costs</w:t>
      </w:r>
      <w:r>
        <w:t>.</w:t>
      </w:r>
    </w:p>
    <w:p w14:paraId="4D48FBDE" w14:textId="20A186EA" w:rsidR="00674C5E" w:rsidRPr="00964D04" w:rsidRDefault="005F48F4" w:rsidP="003C58C0">
      <w:pPr>
        <w:pStyle w:val="ListParagraph"/>
        <w:numPr>
          <w:ilvl w:val="0"/>
          <w:numId w:val="22"/>
        </w:numPr>
        <w:spacing w:line="360" w:lineRule="auto"/>
      </w:pPr>
      <w:r>
        <w:t>V</w:t>
      </w:r>
      <w:r w:rsidR="00AA41AC" w:rsidRPr="00964D04">
        <w:t>isa costs</w:t>
      </w:r>
      <w:r>
        <w:t>.</w:t>
      </w:r>
    </w:p>
    <w:p w14:paraId="2C20964E" w14:textId="5A12DADA" w:rsidR="00AA41AC" w:rsidRPr="00964D04" w:rsidRDefault="005F48F4" w:rsidP="003C58C0">
      <w:pPr>
        <w:pStyle w:val="ListParagraph"/>
        <w:numPr>
          <w:ilvl w:val="0"/>
          <w:numId w:val="22"/>
        </w:numPr>
        <w:spacing w:line="360" w:lineRule="auto"/>
      </w:pPr>
      <w:r>
        <w:t>D</w:t>
      </w:r>
      <w:r w:rsidR="00AA41AC" w:rsidRPr="00964D04">
        <w:t>aily allowances.</w:t>
      </w:r>
    </w:p>
    <w:p w14:paraId="7932FD02" w14:textId="2615DED1" w:rsidR="00AA41AC" w:rsidRPr="00964D04" w:rsidRDefault="00AA41AC" w:rsidP="003C58C0">
      <w:pPr>
        <w:spacing w:line="360" w:lineRule="auto"/>
      </w:pPr>
      <w:r w:rsidRPr="00964D04">
        <w:t xml:space="preserve">The travel and accommodation expenses of staff from organisations acting as associated partners and target groups of the project, external experts and service providers will fall under the </w:t>
      </w:r>
      <w:r w:rsidR="00450431" w:rsidRPr="00964D04">
        <w:t xml:space="preserve">cost </w:t>
      </w:r>
      <w:r w:rsidRPr="00964D04">
        <w:t xml:space="preserve">category </w:t>
      </w:r>
      <w:r w:rsidR="00F02972" w:rsidRPr="00964D04">
        <w:t>‘</w:t>
      </w:r>
      <w:r w:rsidRPr="00964D04">
        <w:t>External expertise and services</w:t>
      </w:r>
      <w:r w:rsidR="00F02972" w:rsidRPr="00964D04">
        <w:t>’</w:t>
      </w:r>
      <w:r w:rsidRPr="00964D04">
        <w:t>.</w:t>
      </w:r>
    </w:p>
    <w:p w14:paraId="7BCC6F55" w14:textId="392A092E" w:rsidR="00AA41AC" w:rsidRPr="00964D04" w:rsidRDefault="00AA41AC" w:rsidP="003C58C0">
      <w:pPr>
        <w:spacing w:line="360" w:lineRule="auto"/>
      </w:pPr>
      <w:r w:rsidRPr="00964D04">
        <w:t>As a rule, the most economic</w:t>
      </w:r>
      <w:r w:rsidR="009D2346" w:rsidRPr="00964D04">
        <w:t>al</w:t>
      </w:r>
      <w:r w:rsidRPr="00964D04">
        <w:t xml:space="preserve"> form of transport and accommodation must be chosen. National regulations, as well as internal regulations of project partners concerning public travel costs financed by public funds</w:t>
      </w:r>
      <w:r w:rsidR="00450431" w:rsidRPr="00964D04">
        <w:t xml:space="preserve"> shall</w:t>
      </w:r>
      <w:r w:rsidRPr="00964D04">
        <w:t xml:space="preserve"> be followed.</w:t>
      </w:r>
    </w:p>
    <w:p w14:paraId="39310B97" w14:textId="2D29D49B" w:rsidR="001C2B0A" w:rsidRPr="00C223C5" w:rsidRDefault="0072780D" w:rsidP="003C58C0">
      <w:pPr>
        <w:pStyle w:val="Heading3"/>
        <w:spacing w:line="360" w:lineRule="auto"/>
      </w:pPr>
      <w:bookmarkStart w:id="87" w:name="_Toc147242411"/>
      <w:r w:rsidRPr="00C223C5">
        <w:t xml:space="preserve">3.5 </w:t>
      </w:r>
      <w:r w:rsidR="001C2B0A" w:rsidRPr="00C223C5">
        <w:t>External expertise and services</w:t>
      </w:r>
      <w:bookmarkEnd w:id="87"/>
    </w:p>
    <w:p w14:paraId="048D66EB" w14:textId="7F127148" w:rsidR="00450431" w:rsidRPr="00964D04" w:rsidRDefault="00450431" w:rsidP="003C58C0">
      <w:pPr>
        <w:spacing w:line="360" w:lineRule="auto"/>
      </w:pPr>
      <w:r w:rsidRPr="001E4FF4">
        <w:rPr>
          <w:rFonts w:ascii="Open Sans SemiBold" w:eastAsia="Open Sans SemiBold" w:hAnsi="Open Sans SemiBold" w:cs="Open Sans SemiBold"/>
          <w:bCs/>
          <w:color w:val="003399"/>
        </w:rPr>
        <w:t>Costs of external expertise and services shall be reported as real costs.</w:t>
      </w:r>
    </w:p>
    <w:p w14:paraId="4C1C007C" w14:textId="7877DD4B" w:rsidR="001C2B0A" w:rsidRPr="00964D04" w:rsidRDefault="001C2B0A" w:rsidP="003C58C0">
      <w:pPr>
        <w:spacing w:line="360" w:lineRule="auto"/>
      </w:pPr>
      <w:r w:rsidRPr="00964D04">
        <w:t>Costs under this category refer to external expertise and services provided by a public or private body or a natural person outside of the project partner organisation. The external experts and service providers are subcontracted to carry out certain tasks or activities which are essential for the implementation of the project (e.g., studies and surveys, translation, promotion and communication, services related to meetings and events). External expertise and service costs are paid on the basis of contracts or written agreements and against invoices or requests for reimbursement.</w:t>
      </w:r>
    </w:p>
    <w:p w14:paraId="694B7182" w14:textId="115FBFBB" w:rsidR="001C2B0A" w:rsidRPr="00964D04" w:rsidRDefault="001C2B0A" w:rsidP="003C58C0">
      <w:pPr>
        <w:spacing w:line="360" w:lineRule="auto"/>
      </w:pPr>
      <w:r w:rsidRPr="00964D04">
        <w:t xml:space="preserve">The types of costs in this category should be provided in the </w:t>
      </w:r>
      <w:r w:rsidR="00450431" w:rsidRPr="00964D04">
        <w:t xml:space="preserve">project </w:t>
      </w:r>
      <w:r w:rsidRPr="00964D04">
        <w:t xml:space="preserve">budget in the Application Form. However, </w:t>
      </w:r>
      <w:r w:rsidR="003F5FF1" w:rsidRPr="00964D04">
        <w:t xml:space="preserve">other expenses may be discovered </w:t>
      </w:r>
      <w:r w:rsidRPr="00964D04">
        <w:t xml:space="preserve">during the implementation of the project (not predicted at the stage of </w:t>
      </w:r>
      <w:r w:rsidR="00450431" w:rsidRPr="00964D04">
        <w:t xml:space="preserve">the </w:t>
      </w:r>
      <w:r w:rsidRPr="00964D04">
        <w:t xml:space="preserve">application) which are justified and necessary for the achievement of the project’s objectives and for the implementation of the project. These costs can be considered </w:t>
      </w:r>
      <w:r w:rsidR="009B5BEE" w:rsidRPr="00964D04">
        <w:t>to be</w:t>
      </w:r>
      <w:r w:rsidRPr="00964D04">
        <w:t xml:space="preserve"> </w:t>
      </w:r>
      <w:r w:rsidRPr="00964D04">
        <w:lastRenderedPageBreak/>
        <w:t xml:space="preserve">eligible provided that they are implemented in line with </w:t>
      </w:r>
      <w:r w:rsidR="009B5BEE" w:rsidRPr="00964D04">
        <w:t xml:space="preserve">the </w:t>
      </w:r>
      <w:r w:rsidRPr="00964D04">
        <w:t>Programme rules (</w:t>
      </w:r>
      <w:r w:rsidR="0098375F" w:rsidRPr="00964D04">
        <w:t>see</w:t>
      </w:r>
      <w:r w:rsidRPr="00964D04">
        <w:t xml:space="preserve"> Chapter VI, </w:t>
      </w:r>
      <w:r w:rsidR="004D0BC0" w:rsidRPr="00964D04">
        <w:t>S</w:t>
      </w:r>
      <w:r w:rsidRPr="00964D04">
        <w:t xml:space="preserve">ection </w:t>
      </w:r>
      <w:r w:rsidR="001A7C11" w:rsidRPr="00964D04">
        <w:t>4</w:t>
      </w:r>
      <w:r w:rsidRPr="00964D04">
        <w:t xml:space="preserve"> Changes during project implementation). </w:t>
      </w:r>
    </w:p>
    <w:p w14:paraId="0E4E679D" w14:textId="0B9771F7" w:rsidR="001C2B0A" w:rsidRPr="00964D04" w:rsidRDefault="001C2B0A" w:rsidP="003C58C0">
      <w:pPr>
        <w:spacing w:line="360" w:lineRule="auto"/>
      </w:pPr>
      <w:r w:rsidRPr="00964D04">
        <w:t>The change should be agreed with the JS before</w:t>
      </w:r>
      <w:r w:rsidR="00111852" w:rsidRPr="00964D04">
        <w:t xml:space="preserve"> the</w:t>
      </w:r>
      <w:r w:rsidRPr="00964D04">
        <w:t xml:space="preserve"> implementation of </w:t>
      </w:r>
      <w:r w:rsidR="00111852" w:rsidRPr="00964D04">
        <w:t>a new</w:t>
      </w:r>
      <w:r w:rsidRPr="00964D04">
        <w:t xml:space="preserve"> activity.</w:t>
      </w:r>
    </w:p>
    <w:p w14:paraId="70E9AE46" w14:textId="3BCFDA82" w:rsidR="001C2B0A" w:rsidRPr="001E4FF4" w:rsidRDefault="001C2B0A"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External expertise and services costs will be limited to the following items:</w:t>
      </w:r>
    </w:p>
    <w:p w14:paraId="541FF6DF" w14:textId="547E9BEA" w:rsidR="001C2B0A" w:rsidRPr="00964D04" w:rsidRDefault="00FD2FD8" w:rsidP="003C58C0">
      <w:pPr>
        <w:pStyle w:val="ListParagraph"/>
        <w:numPr>
          <w:ilvl w:val="0"/>
          <w:numId w:val="22"/>
        </w:numPr>
        <w:spacing w:line="360" w:lineRule="auto"/>
      </w:pPr>
      <w:r>
        <w:t>S</w:t>
      </w:r>
      <w:r w:rsidR="001C2B0A" w:rsidRPr="00964D04">
        <w:t>tudies or surveys (e.g., evaluations, strategies, concept notes, design plans, handbooks)</w:t>
      </w:r>
      <w:r>
        <w:t>.</w:t>
      </w:r>
    </w:p>
    <w:p w14:paraId="694EA505" w14:textId="5F976DC0" w:rsidR="001C2B0A" w:rsidRPr="00964D04" w:rsidRDefault="00FD2FD8" w:rsidP="003C58C0">
      <w:pPr>
        <w:pStyle w:val="ListParagraph"/>
        <w:numPr>
          <w:ilvl w:val="0"/>
          <w:numId w:val="22"/>
        </w:numPr>
        <w:spacing w:line="360" w:lineRule="auto"/>
      </w:pPr>
      <w:r>
        <w:t>T</w:t>
      </w:r>
      <w:r w:rsidR="001C2B0A" w:rsidRPr="00964D04">
        <w:t>raining</w:t>
      </w:r>
      <w:r>
        <w:t>.</w:t>
      </w:r>
    </w:p>
    <w:p w14:paraId="091DB31F" w14:textId="6C6D8E97" w:rsidR="001C2B0A" w:rsidRPr="00964D04" w:rsidRDefault="00FD2FD8" w:rsidP="003C58C0">
      <w:pPr>
        <w:pStyle w:val="ListParagraph"/>
        <w:numPr>
          <w:ilvl w:val="0"/>
          <w:numId w:val="22"/>
        </w:numPr>
        <w:spacing w:line="360" w:lineRule="auto"/>
      </w:pPr>
      <w:r>
        <w:t>T</w:t>
      </w:r>
      <w:r w:rsidR="001C2B0A" w:rsidRPr="00964D04">
        <w:t>ranslations;</w:t>
      </w:r>
    </w:p>
    <w:p w14:paraId="536D5ADE" w14:textId="0C4AB577" w:rsidR="001C2B0A" w:rsidRPr="00964D04" w:rsidRDefault="001C2B0A" w:rsidP="003C58C0">
      <w:pPr>
        <w:pStyle w:val="ListParagraph"/>
        <w:numPr>
          <w:ilvl w:val="0"/>
          <w:numId w:val="22"/>
        </w:numPr>
        <w:spacing w:line="360" w:lineRule="auto"/>
      </w:pPr>
      <w:r w:rsidRPr="00964D04">
        <w:t>IT systems and website development, modifications and updates</w:t>
      </w:r>
      <w:r w:rsidR="00C32F77" w:rsidRPr="00964D04">
        <w:t xml:space="preserve"> – </w:t>
      </w:r>
      <w:r w:rsidRPr="00964D04">
        <w:t>used solely and directly for project implementation</w:t>
      </w:r>
      <w:r w:rsidR="00FD2FD8">
        <w:t>.</w:t>
      </w:r>
    </w:p>
    <w:p w14:paraId="2543CFBD" w14:textId="5836C539" w:rsidR="001C2B0A" w:rsidRPr="00964D04" w:rsidRDefault="00FD2FD8" w:rsidP="003C58C0">
      <w:pPr>
        <w:pStyle w:val="ListParagraph"/>
        <w:numPr>
          <w:ilvl w:val="0"/>
          <w:numId w:val="22"/>
        </w:numPr>
        <w:spacing w:line="360" w:lineRule="auto"/>
      </w:pPr>
      <w:r>
        <w:t>P</w:t>
      </w:r>
      <w:r w:rsidR="001C2B0A" w:rsidRPr="00964D04">
        <w:t>romotion, communication, publicity, promotional items and activities or information linked to an operation or to a programme as such</w:t>
      </w:r>
      <w:r>
        <w:t>.</w:t>
      </w:r>
    </w:p>
    <w:p w14:paraId="35855E60" w14:textId="5038BF1A" w:rsidR="001C2B0A" w:rsidRPr="00964D04" w:rsidRDefault="00FD2FD8" w:rsidP="003C58C0">
      <w:pPr>
        <w:pStyle w:val="ListParagraph"/>
        <w:numPr>
          <w:ilvl w:val="0"/>
          <w:numId w:val="22"/>
        </w:numPr>
        <w:spacing w:line="360" w:lineRule="auto"/>
      </w:pPr>
      <w:r>
        <w:t>P</w:t>
      </w:r>
      <w:r w:rsidR="001C2B0A" w:rsidRPr="00964D04">
        <w:t>roject and financial management</w:t>
      </w:r>
      <w:r>
        <w:t>.</w:t>
      </w:r>
    </w:p>
    <w:p w14:paraId="5882651C" w14:textId="5187E020" w:rsidR="001C2B0A" w:rsidRPr="00964D04" w:rsidRDefault="00FD2FD8" w:rsidP="003C58C0">
      <w:pPr>
        <w:pStyle w:val="ListParagraph"/>
        <w:numPr>
          <w:ilvl w:val="0"/>
          <w:numId w:val="22"/>
        </w:numPr>
        <w:spacing w:line="360" w:lineRule="auto"/>
      </w:pPr>
      <w:r>
        <w:t>S</w:t>
      </w:r>
      <w:r w:rsidR="001C2B0A" w:rsidRPr="00964D04">
        <w:t>ervices related to the organisation and implementation of events or meetings (including rent, catering or interpretation)</w:t>
      </w:r>
      <w:r>
        <w:t>.</w:t>
      </w:r>
    </w:p>
    <w:p w14:paraId="1D6DD404" w14:textId="06F9EB08" w:rsidR="001C2B0A" w:rsidRPr="00964D04" w:rsidRDefault="00FD2FD8" w:rsidP="003C58C0">
      <w:pPr>
        <w:pStyle w:val="ListParagraph"/>
        <w:numPr>
          <w:ilvl w:val="0"/>
          <w:numId w:val="22"/>
        </w:numPr>
        <w:spacing w:line="360" w:lineRule="auto"/>
      </w:pPr>
      <w:r>
        <w:t>P</w:t>
      </w:r>
      <w:r w:rsidR="001C2B0A" w:rsidRPr="00964D04">
        <w:t>articipation in events (e.g., registration fees)</w:t>
      </w:r>
      <w:r>
        <w:t>.</w:t>
      </w:r>
    </w:p>
    <w:p w14:paraId="196B6610" w14:textId="4F5E0549" w:rsidR="001C2B0A" w:rsidRPr="00964D04" w:rsidRDefault="00FD2FD8" w:rsidP="003C58C0">
      <w:pPr>
        <w:pStyle w:val="ListParagraph"/>
        <w:numPr>
          <w:ilvl w:val="0"/>
          <w:numId w:val="22"/>
        </w:numPr>
        <w:spacing w:line="360" w:lineRule="auto"/>
      </w:pPr>
      <w:r>
        <w:t>N</w:t>
      </w:r>
      <w:r w:rsidR="001C2B0A" w:rsidRPr="00964D04">
        <w:t>otarial services and legal consultancy related to project activities, technical and financial expertise, other consultancy and accountancy services</w:t>
      </w:r>
      <w:r>
        <w:t>.</w:t>
      </w:r>
    </w:p>
    <w:p w14:paraId="483727AA" w14:textId="6EF918B4" w:rsidR="001C2B0A" w:rsidRPr="00964D04" w:rsidRDefault="00FD2FD8" w:rsidP="003C58C0">
      <w:pPr>
        <w:pStyle w:val="ListParagraph"/>
        <w:numPr>
          <w:ilvl w:val="0"/>
          <w:numId w:val="22"/>
        </w:numPr>
        <w:spacing w:line="360" w:lineRule="auto"/>
      </w:pPr>
      <w:r>
        <w:t>I</w:t>
      </w:r>
      <w:r w:rsidR="001C2B0A" w:rsidRPr="00964D04">
        <w:t>ntellectual property rights</w:t>
      </w:r>
      <w:r>
        <w:t>.</w:t>
      </w:r>
    </w:p>
    <w:p w14:paraId="06F972E9" w14:textId="58A5BD7C" w:rsidR="001C2B0A" w:rsidRPr="00964D04" w:rsidRDefault="00FD2FD8" w:rsidP="003C58C0">
      <w:pPr>
        <w:pStyle w:val="ListParagraph"/>
        <w:numPr>
          <w:ilvl w:val="0"/>
          <w:numId w:val="22"/>
        </w:numPr>
        <w:spacing w:line="360" w:lineRule="auto"/>
      </w:pPr>
      <w:r>
        <w:t>C</w:t>
      </w:r>
      <w:r w:rsidR="001C2B0A" w:rsidRPr="00964D04">
        <w:t>osts of project verifications carried out by First Level controllers</w:t>
      </w:r>
      <w:r>
        <w:t>.</w:t>
      </w:r>
    </w:p>
    <w:p w14:paraId="2ABA196E" w14:textId="19A0D0C0" w:rsidR="001C2B0A" w:rsidRPr="001E4FF4" w:rsidRDefault="00FD2FD8" w:rsidP="003C58C0">
      <w:pPr>
        <w:pStyle w:val="ListParagraph"/>
        <w:numPr>
          <w:ilvl w:val="0"/>
          <w:numId w:val="22"/>
        </w:numPr>
        <w:spacing w:line="360" w:lineRule="auto"/>
      </w:pPr>
      <w:r w:rsidRPr="001E4FF4">
        <w:t>G</w:t>
      </w:r>
      <w:r w:rsidR="001C2B0A" w:rsidRPr="001E4FF4">
        <w:t xml:space="preserve">uarantees issued by banks or other financial institutions where required by EU or national law or by </w:t>
      </w:r>
      <w:r w:rsidR="00885E66" w:rsidRPr="001E4FF4">
        <w:t xml:space="preserve">the </w:t>
      </w:r>
      <w:hyperlink r:id="rId25" w:history="1">
        <w:r w:rsidR="00E2119A" w:rsidRPr="001E4FF4">
          <w:rPr>
            <w:rFonts w:ascii="Open Sans ExtraBold" w:eastAsia="Open Sans SemiBold" w:hAnsi="Open Sans ExtraBold" w:cs="Open Sans ExtraBold"/>
            <w:bCs/>
            <w:color w:val="003399"/>
          </w:rPr>
          <w:t>Programme document</w:t>
        </w:r>
      </w:hyperlink>
      <w:r w:rsidRPr="001E4FF4">
        <w:t>.</w:t>
      </w:r>
    </w:p>
    <w:p w14:paraId="7EF850AC" w14:textId="2DC3FBA5" w:rsidR="001C2B0A" w:rsidRPr="00964D04" w:rsidRDefault="00FD2FD8" w:rsidP="003C58C0">
      <w:pPr>
        <w:pStyle w:val="ListParagraph"/>
        <w:numPr>
          <w:ilvl w:val="0"/>
          <w:numId w:val="22"/>
        </w:numPr>
        <w:spacing w:line="360" w:lineRule="auto"/>
      </w:pPr>
      <w:r>
        <w:t>T</w:t>
      </w:r>
      <w:r w:rsidR="001C2B0A" w:rsidRPr="00964D04">
        <w:t>ravel and accommodation for external experts, speakers, chairpersons of meetings and service providers, guests from organisations acting as associated partners and target groups of the project</w:t>
      </w:r>
      <w:r>
        <w:t>.</w:t>
      </w:r>
    </w:p>
    <w:p w14:paraId="2FFE917B" w14:textId="6C208EE0" w:rsidR="001C2B0A" w:rsidRPr="00964D04" w:rsidRDefault="00FD2FD8" w:rsidP="003C58C0">
      <w:pPr>
        <w:pStyle w:val="ListParagraph"/>
        <w:numPr>
          <w:ilvl w:val="0"/>
          <w:numId w:val="22"/>
        </w:numPr>
        <w:spacing w:line="360" w:lineRule="auto"/>
      </w:pPr>
      <w:r>
        <w:lastRenderedPageBreak/>
        <w:t>O</w:t>
      </w:r>
      <w:r w:rsidR="001C2B0A" w:rsidRPr="00964D04">
        <w:t>ther specific expertise and services necessary for the implementation of the project.</w:t>
      </w:r>
    </w:p>
    <w:p w14:paraId="3C480CA8" w14:textId="107EFDB1" w:rsidR="00D9356A" w:rsidRPr="00964D04" w:rsidRDefault="00BC209D" w:rsidP="003C58C0">
      <w:pPr>
        <w:spacing w:line="360" w:lineRule="auto"/>
      </w:pPr>
      <w:r w:rsidRPr="00964D04">
        <w:t>P</w:t>
      </w:r>
      <w:r w:rsidR="00514608" w:rsidRPr="00964D04">
        <w:t>rocurement of the external expertise and services</w:t>
      </w:r>
      <w:r w:rsidR="00AD376A" w:rsidRPr="00964D04">
        <w:t xml:space="preserve"> conducted</w:t>
      </w:r>
      <w:r w:rsidR="00514608" w:rsidRPr="00964D04">
        <w:t xml:space="preserve"> by the project partners must </w:t>
      </w:r>
      <w:r w:rsidRPr="00964D04">
        <w:t>be</w:t>
      </w:r>
      <w:r w:rsidR="00514608" w:rsidRPr="00964D04">
        <w:t xml:space="preserve"> in line with relevant procedures and rules determined by the EU, Programme and national (including institutional) rules (see Chapter IV, Section 7 Competition and public procurement).</w:t>
      </w:r>
    </w:p>
    <w:p w14:paraId="32CF6B13" w14:textId="54EA32A7" w:rsidR="001C2B0A" w:rsidRPr="00964D04" w:rsidRDefault="001C2B0A" w:rsidP="003C58C0">
      <w:pPr>
        <w:spacing w:line="360" w:lineRule="auto"/>
      </w:pPr>
      <w:r w:rsidRPr="00964D04">
        <w:t xml:space="preserve">Partners are obliged to </w:t>
      </w:r>
      <w:r w:rsidR="00146702" w:rsidRPr="00964D04">
        <w:t>keep the</w:t>
      </w:r>
      <w:r w:rsidRPr="00964D04">
        <w:t xml:space="preserve"> financial and bookkeeping documents in accordance with national requirements, as well as documents that support the incurred expenditure, for example: </w:t>
      </w:r>
    </w:p>
    <w:p w14:paraId="5A4B8E5E" w14:textId="61442BF1" w:rsidR="001C2B0A" w:rsidRPr="00964D04" w:rsidRDefault="00FD2FD8" w:rsidP="003C58C0">
      <w:pPr>
        <w:pStyle w:val="ListParagraph"/>
        <w:numPr>
          <w:ilvl w:val="0"/>
          <w:numId w:val="22"/>
        </w:numPr>
        <w:spacing w:line="360" w:lineRule="auto"/>
      </w:pPr>
      <w:r>
        <w:t>A</w:t>
      </w:r>
      <w:r w:rsidR="001C2B0A" w:rsidRPr="00964D04">
        <w:t>ttendance list signed by participants of the meeting/conference/seminar</w:t>
      </w:r>
      <w:r>
        <w:t>.</w:t>
      </w:r>
    </w:p>
    <w:p w14:paraId="1FA19D84" w14:textId="6D3273CA" w:rsidR="001C2B0A" w:rsidRPr="00964D04" w:rsidRDefault="00FD2FD8" w:rsidP="003C58C0">
      <w:pPr>
        <w:pStyle w:val="ListParagraph"/>
        <w:numPr>
          <w:ilvl w:val="0"/>
          <w:numId w:val="22"/>
        </w:numPr>
        <w:spacing w:line="360" w:lineRule="auto"/>
      </w:pPr>
      <w:r>
        <w:t>P</w:t>
      </w:r>
      <w:r w:rsidR="001C2B0A" w:rsidRPr="00964D04">
        <w:t>lan/agenda of the meeting/conference/seminar which was held</w:t>
      </w:r>
      <w:r>
        <w:t>.</w:t>
      </w:r>
      <w:r w:rsidR="001C2B0A" w:rsidRPr="00964D04">
        <w:t xml:space="preserve"> </w:t>
      </w:r>
    </w:p>
    <w:p w14:paraId="1624A3FA" w14:textId="2C1BA501" w:rsidR="001C2B0A" w:rsidRPr="00964D04" w:rsidRDefault="00FD2FD8" w:rsidP="003C58C0">
      <w:pPr>
        <w:pStyle w:val="ListParagraph"/>
        <w:numPr>
          <w:ilvl w:val="0"/>
          <w:numId w:val="22"/>
        </w:numPr>
        <w:spacing w:line="360" w:lineRule="auto"/>
      </w:pPr>
      <w:r>
        <w:t>C</w:t>
      </w:r>
      <w:r w:rsidR="001C2B0A" w:rsidRPr="00964D04">
        <w:t>ertificate/attestation of a completed course/training</w:t>
      </w:r>
      <w:r>
        <w:t>.</w:t>
      </w:r>
    </w:p>
    <w:p w14:paraId="16B36B30" w14:textId="01FFCD51" w:rsidR="001C2B0A" w:rsidRPr="00964D04" w:rsidRDefault="00FD2FD8" w:rsidP="003C58C0">
      <w:pPr>
        <w:pStyle w:val="ListParagraph"/>
        <w:numPr>
          <w:ilvl w:val="0"/>
          <w:numId w:val="22"/>
        </w:numPr>
        <w:spacing w:line="360" w:lineRule="auto"/>
      </w:pPr>
      <w:r>
        <w:t>C</w:t>
      </w:r>
      <w:r w:rsidR="001C2B0A" w:rsidRPr="00964D04">
        <w:t xml:space="preserve">opy of promotional material (e.g., leaflet, poster, brochure, folder, inserts to newspapers or magazines, press advertisement promoting a project) or – </w:t>
      </w:r>
      <w:r w:rsidR="003F5FF1" w:rsidRPr="00964D04">
        <w:t>for</w:t>
      </w:r>
      <w:r w:rsidR="001C2B0A" w:rsidRPr="00964D04">
        <w:t xml:space="preserve"> large promotional/information materials – photographs of these materials, of which at least one shows the proper marking of materials</w:t>
      </w:r>
      <w:r>
        <w:t>.</w:t>
      </w:r>
    </w:p>
    <w:p w14:paraId="7C23E135" w14:textId="02C27BBE" w:rsidR="001C2B0A" w:rsidRPr="00964D04" w:rsidRDefault="00FD2FD8" w:rsidP="003C58C0">
      <w:pPr>
        <w:pStyle w:val="ListParagraph"/>
        <w:numPr>
          <w:ilvl w:val="0"/>
          <w:numId w:val="22"/>
        </w:numPr>
        <w:spacing w:line="360" w:lineRule="auto"/>
      </w:pPr>
      <w:r>
        <w:t>W</w:t>
      </w:r>
      <w:r w:rsidR="001C2B0A" w:rsidRPr="00964D04">
        <w:t>ebsite address – where a website is developed as part of the project.</w:t>
      </w:r>
    </w:p>
    <w:p w14:paraId="7A6B66F3" w14:textId="68A650F0" w:rsidR="001C2B0A" w:rsidRPr="001E4FF4" w:rsidRDefault="001C2B0A"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Examples of ineligible expenditure:</w:t>
      </w:r>
    </w:p>
    <w:p w14:paraId="620991F5" w14:textId="62432E07" w:rsidR="001C2B0A" w:rsidRPr="006120F3" w:rsidRDefault="00FD2FD8" w:rsidP="003C58C0">
      <w:pPr>
        <w:pStyle w:val="ListParagraph"/>
        <w:numPr>
          <w:ilvl w:val="0"/>
          <w:numId w:val="22"/>
        </w:numPr>
        <w:spacing w:line="360" w:lineRule="auto"/>
      </w:pPr>
      <w:r>
        <w:t>E</w:t>
      </w:r>
      <w:r w:rsidR="001C2B0A" w:rsidRPr="006120F3">
        <w:t>xpert opinion, consultancy in the area of the project partner appeal</w:t>
      </w:r>
      <w:r w:rsidR="003F5FF1" w:rsidRPr="006120F3">
        <w:t>ing</w:t>
      </w:r>
      <w:r w:rsidR="001C2B0A" w:rsidRPr="006120F3">
        <w:t xml:space="preserve"> against a decision of a national controller or of the Managing Authority</w:t>
      </w:r>
      <w:r>
        <w:t>.</w:t>
      </w:r>
    </w:p>
    <w:p w14:paraId="2431597E" w14:textId="14796551" w:rsidR="001C2B0A" w:rsidRPr="006120F3" w:rsidRDefault="00FD2FD8" w:rsidP="003C58C0">
      <w:pPr>
        <w:pStyle w:val="ListParagraph"/>
        <w:numPr>
          <w:ilvl w:val="0"/>
          <w:numId w:val="22"/>
        </w:numPr>
        <w:spacing w:line="360" w:lineRule="auto"/>
      </w:pPr>
      <w:r>
        <w:t>C</w:t>
      </w:r>
      <w:r w:rsidR="001C2B0A" w:rsidRPr="006120F3">
        <w:t xml:space="preserve">osts of subcontracting other partners and associated partners of the same project and their employees </w:t>
      </w:r>
      <w:r w:rsidR="00B7310E" w:rsidRPr="006120F3">
        <w:t>to</w:t>
      </w:r>
      <w:r w:rsidR="001C2B0A" w:rsidRPr="006120F3">
        <w:t xml:space="preserve"> perform the tasks of the project</w:t>
      </w:r>
      <w:r>
        <w:t>.</w:t>
      </w:r>
    </w:p>
    <w:p w14:paraId="1443096C" w14:textId="2FACA82C" w:rsidR="001C2B0A" w:rsidRPr="006120F3" w:rsidRDefault="00FD2FD8" w:rsidP="003C58C0">
      <w:pPr>
        <w:pStyle w:val="ListParagraph"/>
        <w:numPr>
          <w:ilvl w:val="0"/>
          <w:numId w:val="22"/>
        </w:numPr>
        <w:spacing w:line="360" w:lineRule="auto"/>
      </w:pPr>
      <w:r>
        <w:t>C</w:t>
      </w:r>
      <w:r w:rsidR="001C2B0A" w:rsidRPr="006120F3">
        <w:t>osts of renting rooms owned by the project partner</w:t>
      </w:r>
      <w:r>
        <w:t>.</w:t>
      </w:r>
    </w:p>
    <w:p w14:paraId="6ACD351F" w14:textId="0E6475D3" w:rsidR="001C2B0A" w:rsidRPr="006120F3" w:rsidRDefault="00FD2FD8" w:rsidP="003C58C0">
      <w:pPr>
        <w:pStyle w:val="ListParagraph"/>
        <w:numPr>
          <w:ilvl w:val="0"/>
          <w:numId w:val="22"/>
        </w:numPr>
        <w:spacing w:line="360" w:lineRule="auto"/>
      </w:pPr>
      <w:r>
        <w:t>C</w:t>
      </w:r>
      <w:r w:rsidR="001C2B0A" w:rsidRPr="006120F3">
        <w:t>osts of the acquisition of copyrights for projects in which materials are intended for single use</w:t>
      </w:r>
      <w:r>
        <w:t>.</w:t>
      </w:r>
    </w:p>
    <w:p w14:paraId="25089E36" w14:textId="433998C5" w:rsidR="001C2B0A" w:rsidRPr="006120F3" w:rsidRDefault="00FD2FD8" w:rsidP="003C58C0">
      <w:pPr>
        <w:pStyle w:val="ListParagraph"/>
        <w:numPr>
          <w:ilvl w:val="0"/>
          <w:numId w:val="22"/>
        </w:numPr>
        <w:spacing w:line="360" w:lineRule="auto"/>
      </w:pPr>
      <w:r>
        <w:lastRenderedPageBreak/>
        <w:t>W</w:t>
      </w:r>
      <w:r w:rsidR="001C2B0A" w:rsidRPr="006120F3">
        <w:t>ages/compensation for professional artists and authors for entertainment purposes (sole exception</w:t>
      </w:r>
      <w:r w:rsidR="00C32F77" w:rsidRPr="006120F3">
        <w:t xml:space="preserve"> – </w:t>
      </w:r>
      <w:r w:rsidR="001C2B0A" w:rsidRPr="006120F3">
        <w:t xml:space="preserve">wages/compensation are eligible for professional artists and authors directly related to achieving </w:t>
      </w:r>
      <w:r w:rsidR="003F5FF1" w:rsidRPr="006120F3">
        <w:t xml:space="preserve">the </w:t>
      </w:r>
      <w:r w:rsidR="001C2B0A" w:rsidRPr="006120F3">
        <w:t>project</w:t>
      </w:r>
      <w:r w:rsidR="003F5FF1" w:rsidRPr="006120F3">
        <w:t>’s</w:t>
      </w:r>
      <w:r w:rsidR="001C2B0A" w:rsidRPr="006120F3">
        <w:t xml:space="preserve"> main outputs or deliverables)</w:t>
      </w:r>
      <w:r>
        <w:t>.</w:t>
      </w:r>
    </w:p>
    <w:p w14:paraId="33271E3C" w14:textId="404085BD" w:rsidR="001C2B0A" w:rsidRPr="006120F3" w:rsidRDefault="00FD2FD8" w:rsidP="003C58C0">
      <w:pPr>
        <w:pStyle w:val="ListParagraph"/>
        <w:numPr>
          <w:ilvl w:val="0"/>
          <w:numId w:val="22"/>
        </w:numPr>
        <w:spacing w:line="360" w:lineRule="auto"/>
      </w:pPr>
      <w:r>
        <w:t>E</w:t>
      </w:r>
      <w:r w:rsidR="001C2B0A" w:rsidRPr="006120F3">
        <w:t>xpenditure for filmmaking, commercials, audio material, advertisements</w:t>
      </w:r>
      <w:r w:rsidR="00C14976" w:rsidRPr="006120F3">
        <w:t>,</w:t>
      </w:r>
      <w:r w:rsidR="001C2B0A" w:rsidRPr="006120F3">
        <w:t xml:space="preserve"> the cost of which deviates to a large extent from the commonly binding market prices (i.e., because of a soundtrack protected by copyright law, artistic image or participation of a known person).</w:t>
      </w:r>
    </w:p>
    <w:p w14:paraId="6B592580" w14:textId="5557CBAB" w:rsidR="001B10E6" w:rsidRPr="00C223C5" w:rsidRDefault="0072780D" w:rsidP="003C58C0">
      <w:pPr>
        <w:pStyle w:val="Heading3"/>
        <w:spacing w:line="360" w:lineRule="auto"/>
      </w:pPr>
      <w:bookmarkStart w:id="88" w:name="_Toc147242412"/>
      <w:r w:rsidRPr="00C223C5">
        <w:t xml:space="preserve">3.6 </w:t>
      </w:r>
      <w:r w:rsidR="001B10E6" w:rsidRPr="00C223C5">
        <w:t>Equipment</w:t>
      </w:r>
      <w:bookmarkEnd w:id="88"/>
    </w:p>
    <w:p w14:paraId="7054908D" w14:textId="1BE098B5" w:rsidR="00146702" w:rsidRPr="001E4FF4" w:rsidRDefault="00146702"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Costs of equipment shall be reported as real costs.</w:t>
      </w:r>
    </w:p>
    <w:p w14:paraId="4ACD43EB" w14:textId="3B5D6363" w:rsidR="001B10E6" w:rsidRPr="006120F3" w:rsidRDefault="001B10E6" w:rsidP="003C58C0">
      <w:pPr>
        <w:spacing w:line="360" w:lineRule="auto"/>
      </w:pPr>
      <w:r w:rsidRPr="006120F3">
        <w:t xml:space="preserve">Costs under this category refer to equipment: purchased, rented, leased or already in possession </w:t>
      </w:r>
      <w:r w:rsidR="00A56DFE" w:rsidRPr="006120F3">
        <w:t>of</w:t>
      </w:r>
      <w:r w:rsidRPr="006120F3">
        <w:t xml:space="preserve"> the project partner which is essential for the implementation of the project. The costs of depreciation/lease/rental/tenancy of the equipment that is used for project management purposes should also be reported under this category. The project partners are obliged to follow national requirements regarding bookkeeping in relation to the purchased equipment. </w:t>
      </w:r>
    </w:p>
    <w:p w14:paraId="3FB37386" w14:textId="77777777" w:rsidR="001B10E6" w:rsidRPr="006120F3" w:rsidRDefault="001B10E6" w:rsidP="003C58C0">
      <w:pPr>
        <w:spacing w:line="360" w:lineRule="auto"/>
      </w:pPr>
      <w:r w:rsidRPr="006120F3">
        <w:t>Use of equipment purchased in the project can be distinguished between:</w:t>
      </w:r>
    </w:p>
    <w:p w14:paraId="6263BDC2" w14:textId="2ED8C584" w:rsidR="001B10E6" w:rsidRPr="006120F3" w:rsidRDefault="00C35082" w:rsidP="003C58C0">
      <w:pPr>
        <w:pStyle w:val="ListParagraph"/>
        <w:numPr>
          <w:ilvl w:val="0"/>
          <w:numId w:val="22"/>
        </w:numPr>
        <w:spacing w:line="360" w:lineRule="auto"/>
      </w:pPr>
      <w:r>
        <w:rPr>
          <w:rFonts w:ascii="Open Sans SemiBold" w:eastAsia="Open Sans SemiBold" w:hAnsi="Open Sans SemiBold" w:cs="Open Sans SemiBold"/>
          <w:bCs/>
          <w:color w:val="003399"/>
        </w:rPr>
        <w:t>E</w:t>
      </w:r>
      <w:r w:rsidR="001B10E6" w:rsidRPr="006120F3">
        <w:rPr>
          <w:rFonts w:ascii="Open Sans SemiBold" w:eastAsia="Open Sans SemiBold" w:hAnsi="Open Sans SemiBold" w:cs="Open Sans SemiBold"/>
          <w:bCs/>
          <w:color w:val="003399"/>
        </w:rPr>
        <w:t>quipment for project management use during the project</w:t>
      </w:r>
      <w:r w:rsidR="00C32F77" w:rsidRPr="006120F3">
        <w:t xml:space="preserve"> – </w:t>
      </w:r>
      <w:r w:rsidR="001B10E6" w:rsidRPr="006120F3">
        <w:t xml:space="preserve">tool or device purchased by the </w:t>
      </w:r>
      <w:r w:rsidR="008122ED" w:rsidRPr="006120F3">
        <w:t>p</w:t>
      </w:r>
      <w:r w:rsidR="001B10E6" w:rsidRPr="006120F3">
        <w:t>artner or already in its possession and used to carry out project activities</w:t>
      </w:r>
      <w:r>
        <w:t>.</w:t>
      </w:r>
    </w:p>
    <w:p w14:paraId="2773B2C4" w14:textId="13ECBB13" w:rsidR="001B10E6" w:rsidRPr="006120F3" w:rsidRDefault="00C35082" w:rsidP="003C58C0">
      <w:pPr>
        <w:pStyle w:val="ListParagraph"/>
        <w:numPr>
          <w:ilvl w:val="0"/>
          <w:numId w:val="22"/>
        </w:numPr>
        <w:spacing w:line="360" w:lineRule="auto"/>
      </w:pPr>
      <w:r>
        <w:rPr>
          <w:rFonts w:ascii="Open Sans SemiBold" w:eastAsia="Open Sans SemiBold" w:hAnsi="Open Sans SemiBold" w:cs="Open Sans SemiBold"/>
          <w:bCs/>
          <w:color w:val="003399"/>
        </w:rPr>
        <w:t>E</w:t>
      </w:r>
      <w:r w:rsidR="001B10E6" w:rsidRPr="006120F3">
        <w:rPr>
          <w:rFonts w:ascii="Open Sans SemiBold" w:eastAsia="Open Sans SemiBold" w:hAnsi="Open Sans SemiBold" w:cs="Open Sans SemiBold"/>
          <w:bCs/>
          <w:color w:val="003399"/>
        </w:rPr>
        <w:t>quipment directly contributing to the achievement of a project output</w:t>
      </w:r>
      <w:r w:rsidR="00C32F77" w:rsidRPr="006120F3">
        <w:rPr>
          <w:rFonts w:ascii="Open Sans SemiBold" w:eastAsia="Open Sans SemiBold" w:hAnsi="Open Sans SemiBold" w:cs="Open Sans SemiBold"/>
          <w:bCs/>
          <w:color w:val="003399"/>
        </w:rPr>
        <w:t xml:space="preserve"> </w:t>
      </w:r>
      <w:r w:rsidR="00C32F77" w:rsidRPr="006120F3">
        <w:t xml:space="preserve">– </w:t>
      </w:r>
      <w:r w:rsidR="001B10E6" w:rsidRPr="006120F3">
        <w:t>affects the project target group or project area and which stays in use after the project is implemented (e.g., tools/devices needed for the testing purposes; IT tools</w:t>
      </w:r>
      <w:r w:rsidR="00D07B80" w:rsidRPr="006120F3">
        <w:t>/</w:t>
      </w:r>
      <w:r w:rsidR="001B10E6" w:rsidRPr="006120F3">
        <w:t>databases</w:t>
      </w:r>
      <w:r w:rsidR="007636CB" w:rsidRPr="006120F3">
        <w:t>,</w:t>
      </w:r>
      <w:r w:rsidR="001B10E6" w:rsidRPr="006120F3">
        <w:t xml:space="preserve"> etc.).</w:t>
      </w:r>
    </w:p>
    <w:p w14:paraId="486D9668" w14:textId="75C828F2" w:rsidR="001B10E6" w:rsidRPr="001E4FF4" w:rsidRDefault="001B10E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Eligible expenditure for equipment will be limited to the following items:</w:t>
      </w:r>
    </w:p>
    <w:p w14:paraId="1A933C00" w14:textId="7A9F8398" w:rsidR="001B10E6" w:rsidRPr="006120F3" w:rsidRDefault="00C35082" w:rsidP="003C58C0">
      <w:pPr>
        <w:pStyle w:val="ListParagraph"/>
        <w:numPr>
          <w:ilvl w:val="0"/>
          <w:numId w:val="22"/>
        </w:numPr>
        <w:spacing w:line="360" w:lineRule="auto"/>
      </w:pPr>
      <w:r>
        <w:lastRenderedPageBreak/>
        <w:t>O</w:t>
      </w:r>
      <w:r w:rsidR="001B10E6" w:rsidRPr="006120F3">
        <w:t>ffice equipment</w:t>
      </w:r>
      <w:r>
        <w:t>.</w:t>
      </w:r>
    </w:p>
    <w:p w14:paraId="1D717F8E" w14:textId="0EA6A678" w:rsidR="001B10E6" w:rsidRPr="006120F3" w:rsidRDefault="001B10E6" w:rsidP="003C58C0">
      <w:pPr>
        <w:pStyle w:val="ListParagraph"/>
        <w:numPr>
          <w:ilvl w:val="0"/>
          <w:numId w:val="22"/>
        </w:numPr>
        <w:spacing w:line="360" w:lineRule="auto"/>
      </w:pPr>
      <w:r w:rsidRPr="006120F3">
        <w:t>IT hardware and software (and possible updates necessary for proper implementation of the project)</w:t>
      </w:r>
      <w:r w:rsidR="00C35082">
        <w:t>.</w:t>
      </w:r>
    </w:p>
    <w:p w14:paraId="26371CDD" w14:textId="6F694C9F" w:rsidR="001B10E6" w:rsidRPr="006120F3" w:rsidRDefault="00C35082" w:rsidP="003C58C0">
      <w:pPr>
        <w:pStyle w:val="ListParagraph"/>
        <w:numPr>
          <w:ilvl w:val="0"/>
          <w:numId w:val="22"/>
        </w:numPr>
        <w:spacing w:line="360" w:lineRule="auto"/>
      </w:pPr>
      <w:r>
        <w:t>F</w:t>
      </w:r>
      <w:r w:rsidR="001B10E6" w:rsidRPr="006120F3">
        <w:t>urniture and fittings</w:t>
      </w:r>
      <w:r w:rsidR="00C32F77" w:rsidRPr="006120F3">
        <w:t xml:space="preserve"> – </w:t>
      </w:r>
      <w:r w:rsidR="001B10E6" w:rsidRPr="006120F3">
        <w:t xml:space="preserve">furniture and fittings for offices of project partners will be co-financed in exceptional and duly justified cases only. For employees involved in the project as a minimum on a half-time basis, costs related to furnishing and equipment of the workplace are eligible in full. For employees involved in the project for less than half-time, the costs related to furnishing and equipment of the workplace are non-eligible. </w:t>
      </w:r>
    </w:p>
    <w:p w14:paraId="2B5B1F8E" w14:textId="65171E69" w:rsidR="001B10E6" w:rsidRPr="006120F3" w:rsidRDefault="00C35082" w:rsidP="003C58C0">
      <w:pPr>
        <w:pStyle w:val="ListParagraph"/>
        <w:numPr>
          <w:ilvl w:val="0"/>
          <w:numId w:val="22"/>
        </w:numPr>
        <w:spacing w:line="360" w:lineRule="auto"/>
      </w:pPr>
      <w:r>
        <w:t>L</w:t>
      </w:r>
      <w:r w:rsidR="001B10E6" w:rsidRPr="006120F3">
        <w:t>aboratory equipment</w:t>
      </w:r>
      <w:r>
        <w:t>.</w:t>
      </w:r>
    </w:p>
    <w:p w14:paraId="61D6592F" w14:textId="069491FD" w:rsidR="001B10E6" w:rsidRPr="006120F3" w:rsidRDefault="00C35082" w:rsidP="003C58C0">
      <w:pPr>
        <w:pStyle w:val="ListParagraph"/>
        <w:numPr>
          <w:ilvl w:val="0"/>
          <w:numId w:val="22"/>
        </w:numPr>
        <w:spacing w:line="360" w:lineRule="auto"/>
      </w:pPr>
      <w:r>
        <w:t>M</w:t>
      </w:r>
      <w:r w:rsidR="001B10E6" w:rsidRPr="006120F3">
        <w:t>achines and instruments</w:t>
      </w:r>
      <w:r>
        <w:t>.</w:t>
      </w:r>
    </w:p>
    <w:p w14:paraId="77284EAA" w14:textId="0796B41E" w:rsidR="001B10E6" w:rsidRPr="006120F3" w:rsidRDefault="00C35082" w:rsidP="003C58C0">
      <w:pPr>
        <w:pStyle w:val="ListParagraph"/>
        <w:numPr>
          <w:ilvl w:val="0"/>
          <w:numId w:val="22"/>
        </w:numPr>
        <w:spacing w:line="360" w:lineRule="auto"/>
      </w:pPr>
      <w:r>
        <w:t>T</w:t>
      </w:r>
      <w:r w:rsidR="001B10E6" w:rsidRPr="006120F3">
        <w:t>ools or devices</w:t>
      </w:r>
      <w:r>
        <w:t>.</w:t>
      </w:r>
    </w:p>
    <w:p w14:paraId="308AE04A" w14:textId="5AB29C2D" w:rsidR="00FB349E" w:rsidRPr="006120F3" w:rsidRDefault="00C35082" w:rsidP="003C58C0">
      <w:pPr>
        <w:pStyle w:val="ListParagraph"/>
        <w:numPr>
          <w:ilvl w:val="0"/>
          <w:numId w:val="22"/>
        </w:numPr>
        <w:spacing w:line="360" w:lineRule="auto"/>
      </w:pPr>
      <w:r>
        <w:t>V</w:t>
      </w:r>
      <w:r w:rsidR="001B10E6" w:rsidRPr="006120F3">
        <w:t>ehicles</w:t>
      </w:r>
      <w:r w:rsidR="00C32F77" w:rsidRPr="006120F3">
        <w:t xml:space="preserve"> – </w:t>
      </w:r>
      <w:r w:rsidR="001B10E6" w:rsidRPr="006120F3">
        <w:t>purchase of vehicles will be eligible only if they are operated and used solely for the purposes of fulfilling the main objective of the project.</w:t>
      </w:r>
    </w:p>
    <w:p w14:paraId="5D991479" w14:textId="5238EAF4" w:rsidR="001B10E6" w:rsidRPr="006120F3" w:rsidRDefault="00C35082" w:rsidP="003C58C0">
      <w:pPr>
        <w:pStyle w:val="ListParagraph"/>
        <w:numPr>
          <w:ilvl w:val="0"/>
          <w:numId w:val="22"/>
        </w:numPr>
        <w:spacing w:line="360" w:lineRule="auto"/>
      </w:pPr>
      <w:r>
        <w:t>O</w:t>
      </w:r>
      <w:r w:rsidR="001B10E6" w:rsidRPr="006120F3">
        <w:t>ther specific equipment needed for operations (including equipment needed by project staff with disabilities).</w:t>
      </w:r>
    </w:p>
    <w:p w14:paraId="316B2FDA" w14:textId="77777777" w:rsidR="001B10E6" w:rsidRPr="006120F3" w:rsidRDefault="001B10E6" w:rsidP="003C58C0">
      <w:pPr>
        <w:spacing w:line="360" w:lineRule="auto"/>
      </w:pPr>
      <w:r w:rsidRPr="006120F3">
        <w:t>Based on these general provisions, the following rules for the costs for the purchase of equipment will be applied:</w:t>
      </w:r>
    </w:p>
    <w:p w14:paraId="78177EDB" w14:textId="7254EF71" w:rsidR="001B10E6" w:rsidRPr="006120F3" w:rsidRDefault="002C6894" w:rsidP="003C58C0">
      <w:pPr>
        <w:pStyle w:val="ListParagraph"/>
        <w:numPr>
          <w:ilvl w:val="0"/>
          <w:numId w:val="22"/>
        </w:numPr>
        <w:spacing w:line="360" w:lineRule="auto"/>
      </w:pPr>
      <w:r>
        <w:rPr>
          <w:rFonts w:ascii="Open Sans SemiBold" w:eastAsia="Open Sans SemiBold" w:hAnsi="Open Sans SemiBold" w:cs="Open Sans SemiBold"/>
          <w:bCs/>
          <w:color w:val="003399"/>
        </w:rPr>
        <w:t>I</w:t>
      </w:r>
      <w:r w:rsidR="001B10E6" w:rsidRPr="006120F3">
        <w:rPr>
          <w:rFonts w:ascii="Open Sans SemiBold" w:eastAsia="Open Sans SemiBold" w:hAnsi="Open Sans SemiBold" w:cs="Open Sans SemiBold"/>
          <w:bCs/>
          <w:color w:val="003399"/>
        </w:rPr>
        <w:t>tems of low value</w:t>
      </w:r>
      <w:r w:rsidR="001B10E6" w:rsidRPr="006120F3">
        <w:t xml:space="preserve"> – when the unit price of the item does not exceed the thresholds specified in national requirements for the application of depreciation rules (i.e., one-off depreciation is expected), the respective purchase costs are eligible in whole or in part (proportionately to the usage of an item in the project implementation)</w:t>
      </w:r>
      <w:r>
        <w:t>.</w:t>
      </w:r>
    </w:p>
    <w:p w14:paraId="5C554587" w14:textId="519E5BEE" w:rsidR="00424BEF" w:rsidRPr="006120F3" w:rsidRDefault="002C6894" w:rsidP="003C58C0">
      <w:pPr>
        <w:pStyle w:val="ListParagraph"/>
        <w:numPr>
          <w:ilvl w:val="0"/>
          <w:numId w:val="22"/>
        </w:numPr>
        <w:spacing w:line="360" w:lineRule="auto"/>
      </w:pPr>
      <w:r>
        <w:rPr>
          <w:rFonts w:ascii="Open Sans SemiBold" w:eastAsia="Open Sans SemiBold" w:hAnsi="Open Sans SemiBold" w:cs="Open Sans SemiBold"/>
          <w:bCs/>
          <w:color w:val="003399"/>
        </w:rPr>
        <w:t>E</w:t>
      </w:r>
      <w:r w:rsidR="001B10E6" w:rsidRPr="006120F3">
        <w:rPr>
          <w:rFonts w:ascii="Open Sans SemiBold" w:eastAsia="Open Sans SemiBold" w:hAnsi="Open Sans SemiBold" w:cs="Open Sans SemiBold"/>
          <w:bCs/>
          <w:color w:val="003399"/>
        </w:rPr>
        <w:t>quipment for project management use during the project</w:t>
      </w:r>
      <w:r w:rsidR="00C32F77" w:rsidRPr="006120F3">
        <w:t xml:space="preserve"> – </w:t>
      </w:r>
      <w:r w:rsidR="001B10E6" w:rsidRPr="006120F3">
        <w:t xml:space="preserve">depreciation (depreciation for the equipment item should be calculated according to the national regulations) is eligible for co-financing from the Programme in proportion to the period when the equipment is used for </w:t>
      </w:r>
      <w:r w:rsidR="001B10E6" w:rsidRPr="006120F3">
        <w:lastRenderedPageBreak/>
        <w:t xml:space="preserve">project implementation. Depreciation must be calculated according to the national requirements and the depreciation method used will be stored for accounting, </w:t>
      </w:r>
      <w:r w:rsidR="00FE4EF9" w:rsidRPr="006120F3">
        <w:t>control,</w:t>
      </w:r>
      <w:r w:rsidR="001B10E6" w:rsidRPr="006120F3">
        <w:t xml:space="preserve"> and audit purposes. For example, the monthly share of depreciation should be calculated. The rate may vary according to the type of fixed asset and among </w:t>
      </w:r>
      <w:r w:rsidR="008039A1" w:rsidRPr="006120F3">
        <w:t xml:space="preserve">the </w:t>
      </w:r>
      <w:r w:rsidR="001B10E6" w:rsidRPr="006120F3">
        <w:t>project partner countries</w:t>
      </w:r>
      <w:r>
        <w:t>.</w:t>
      </w:r>
    </w:p>
    <w:p w14:paraId="6AE595D3" w14:textId="2F59C2EC" w:rsidR="001B10E6" w:rsidRPr="006120F3" w:rsidRDefault="002C6894" w:rsidP="003C58C0">
      <w:pPr>
        <w:pStyle w:val="ListParagraph"/>
        <w:numPr>
          <w:ilvl w:val="0"/>
          <w:numId w:val="22"/>
        </w:numPr>
        <w:spacing w:line="360" w:lineRule="auto"/>
      </w:pPr>
      <w:r>
        <w:rPr>
          <w:rFonts w:ascii="Open Sans SemiBold" w:eastAsia="Open Sans SemiBold" w:hAnsi="Open Sans SemiBold" w:cs="Open Sans SemiBold"/>
          <w:bCs/>
          <w:color w:val="003399"/>
        </w:rPr>
        <w:t>E</w:t>
      </w:r>
      <w:r w:rsidR="001B10E6" w:rsidRPr="006120F3">
        <w:rPr>
          <w:rFonts w:ascii="Open Sans SemiBold" w:eastAsia="Open Sans SemiBold" w:hAnsi="Open Sans SemiBold" w:cs="Open Sans SemiBold"/>
          <w:bCs/>
          <w:color w:val="003399"/>
        </w:rPr>
        <w:t>quipment directly contributing to the achievement of the project’s outputs</w:t>
      </w:r>
      <w:r w:rsidR="00C32F77" w:rsidRPr="006120F3">
        <w:t xml:space="preserve"> – </w:t>
      </w:r>
      <w:r w:rsidR="001B10E6" w:rsidRPr="006120F3">
        <w:t xml:space="preserve">if the equipment item directly contributes to the achievement of an output (i.e., the equipment affects the project target group or project area and is intended to remain in use after the project is implemented), </w:t>
      </w:r>
      <w:r w:rsidR="008039A1" w:rsidRPr="006120F3">
        <w:t xml:space="preserve">the </w:t>
      </w:r>
      <w:r w:rsidR="001B10E6" w:rsidRPr="006120F3">
        <w:t>full purchase costs (</w:t>
      </w:r>
      <w:r w:rsidR="00FE4EF9" w:rsidRPr="006120F3">
        <w:t>i</w:t>
      </w:r>
      <w:r w:rsidR="001B10E6" w:rsidRPr="006120F3">
        <w:t>ncluding operating and servicing costs) of</w:t>
      </w:r>
      <w:r w:rsidR="008039A1" w:rsidRPr="006120F3">
        <w:t xml:space="preserve"> the</w:t>
      </w:r>
      <w:r w:rsidR="001B10E6" w:rsidRPr="006120F3">
        <w:t xml:space="preserve"> equipment are eligible. I</w:t>
      </w:r>
      <w:r w:rsidR="008039A1" w:rsidRPr="006120F3">
        <w:t>f</w:t>
      </w:r>
      <w:r w:rsidR="001B10E6" w:rsidRPr="006120F3">
        <w:t xml:space="preserve"> the equipment is already in </w:t>
      </w:r>
      <w:r w:rsidR="008039A1" w:rsidRPr="006120F3">
        <w:t xml:space="preserve">the </w:t>
      </w:r>
      <w:r w:rsidR="001B10E6" w:rsidRPr="006120F3">
        <w:t xml:space="preserve">possession of the project partner, only depreciation costs are eligible for co-financing from the Programme in proportion to the period when the equipment is used for project implementation. </w:t>
      </w:r>
    </w:p>
    <w:p w14:paraId="04B1B764" w14:textId="77777777" w:rsidR="001B10E6" w:rsidRPr="006120F3" w:rsidRDefault="001B10E6" w:rsidP="003C58C0">
      <w:pPr>
        <w:spacing w:line="360" w:lineRule="auto"/>
      </w:pPr>
      <w:r w:rsidRPr="006120F3">
        <w:t>Project partners can purchase both new and used equipment. The technical specifications for the equipment item should confirm its relevance for the purpose for which the item is to be used in the project. Costs for the purchase of used items may be eligible provided that:</w:t>
      </w:r>
    </w:p>
    <w:p w14:paraId="30D534FF" w14:textId="25D94AA1" w:rsidR="001B10E6" w:rsidRPr="006120F3" w:rsidRDefault="002C6894" w:rsidP="003C58C0">
      <w:pPr>
        <w:pStyle w:val="ListParagraph"/>
        <w:numPr>
          <w:ilvl w:val="0"/>
          <w:numId w:val="22"/>
        </w:numPr>
        <w:spacing w:line="360" w:lineRule="auto"/>
      </w:pPr>
      <w:r>
        <w:t>N</w:t>
      </w:r>
      <w:r w:rsidR="001B10E6" w:rsidRPr="006120F3">
        <w:t>o other assistance has been received for it from the European Structural and Investment Funds</w:t>
      </w:r>
      <w:r>
        <w:t>.</w:t>
      </w:r>
    </w:p>
    <w:p w14:paraId="7E5EE0EA" w14:textId="49E7C1F8" w:rsidR="001B10E6" w:rsidRPr="006120F3" w:rsidRDefault="002C6894" w:rsidP="003C58C0">
      <w:pPr>
        <w:pStyle w:val="ListParagraph"/>
        <w:numPr>
          <w:ilvl w:val="0"/>
          <w:numId w:val="22"/>
        </w:numPr>
        <w:spacing w:line="360" w:lineRule="auto"/>
      </w:pPr>
      <w:r>
        <w:t>It</w:t>
      </w:r>
      <w:r w:rsidR="001B10E6" w:rsidRPr="006120F3">
        <w:t>s price does not exceed the generally accepted price on the market</w:t>
      </w:r>
      <w:r>
        <w:t>.</w:t>
      </w:r>
    </w:p>
    <w:p w14:paraId="18E77FC0" w14:textId="0862A551" w:rsidR="001B10E6" w:rsidRPr="006120F3" w:rsidRDefault="002C6894" w:rsidP="003C58C0">
      <w:pPr>
        <w:pStyle w:val="ListParagraph"/>
        <w:numPr>
          <w:ilvl w:val="0"/>
          <w:numId w:val="22"/>
        </w:numPr>
        <w:spacing w:line="360" w:lineRule="auto"/>
      </w:pPr>
      <w:r>
        <w:t>I</w:t>
      </w:r>
      <w:r w:rsidR="001B10E6" w:rsidRPr="006120F3">
        <w:t>t has the technical characteristics necessary for the project and complies with applicable norms and standards.</w:t>
      </w:r>
    </w:p>
    <w:p w14:paraId="041C9D47" w14:textId="77777777" w:rsidR="001B10E6" w:rsidRPr="001E4FF4" w:rsidRDefault="001B10E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Lease</w:t>
      </w:r>
    </w:p>
    <w:p w14:paraId="58CA6CEE" w14:textId="24F7B7D0" w:rsidR="001B10E6" w:rsidRPr="006120F3" w:rsidRDefault="001B10E6" w:rsidP="003C58C0">
      <w:pPr>
        <w:spacing w:line="360" w:lineRule="auto"/>
      </w:pPr>
      <w:r w:rsidRPr="006120F3">
        <w:t xml:space="preserve">If the project partner decides to use project equipment through a leasing facility, part of the leasing payment (repayment of the stock value of the equipment item) </w:t>
      </w:r>
      <w:r w:rsidRPr="006120F3">
        <w:lastRenderedPageBreak/>
        <w:t xml:space="preserve">can be considered as eligible. The project partner will include paid lease instalments in the respective progress report </w:t>
      </w:r>
      <w:r w:rsidR="00B7310E" w:rsidRPr="006120F3">
        <w:t>to</w:t>
      </w:r>
      <w:r w:rsidRPr="006120F3">
        <w:t xml:space="preserve"> claim ERDF co-financing. However, the following parts of a leasing instalment are not eligible:</w:t>
      </w:r>
    </w:p>
    <w:p w14:paraId="68C1D2E1" w14:textId="39D70966" w:rsidR="001B10E6" w:rsidRPr="006120F3" w:rsidRDefault="002C6894" w:rsidP="003C58C0">
      <w:pPr>
        <w:pStyle w:val="ListParagraph"/>
        <w:numPr>
          <w:ilvl w:val="0"/>
          <w:numId w:val="22"/>
        </w:numPr>
        <w:spacing w:line="360" w:lineRule="auto"/>
      </w:pPr>
      <w:r>
        <w:t>L</w:t>
      </w:r>
      <w:r w:rsidR="001B10E6" w:rsidRPr="006120F3">
        <w:t>essor’s margin</w:t>
      </w:r>
      <w:r>
        <w:t>.</w:t>
      </w:r>
    </w:p>
    <w:p w14:paraId="6F96F736" w14:textId="327519E4" w:rsidR="001B10E6" w:rsidRPr="006120F3" w:rsidRDefault="002C6894" w:rsidP="003C58C0">
      <w:pPr>
        <w:pStyle w:val="ListParagraph"/>
        <w:numPr>
          <w:ilvl w:val="0"/>
          <w:numId w:val="22"/>
        </w:numPr>
        <w:spacing w:line="360" w:lineRule="auto"/>
      </w:pPr>
      <w:r>
        <w:t>I</w:t>
      </w:r>
      <w:r w:rsidR="001B10E6" w:rsidRPr="006120F3">
        <w:t>nsurance fees.</w:t>
      </w:r>
    </w:p>
    <w:p w14:paraId="0D96D778" w14:textId="77777777" w:rsidR="001B10E6" w:rsidRPr="006120F3" w:rsidRDefault="001B10E6" w:rsidP="003C58C0">
      <w:pPr>
        <w:spacing w:line="360" w:lineRule="auto"/>
      </w:pPr>
      <w:r w:rsidRPr="006120F3">
        <w:t>To support the incurred costs, the necessary documentation must be retained by the project partners, for example:</w:t>
      </w:r>
    </w:p>
    <w:p w14:paraId="6ED4CC04" w14:textId="7E709A4D" w:rsidR="001B10E6" w:rsidRPr="006120F3" w:rsidRDefault="002C6894" w:rsidP="003C58C0">
      <w:pPr>
        <w:pStyle w:val="ListParagraph"/>
        <w:numPr>
          <w:ilvl w:val="0"/>
          <w:numId w:val="22"/>
        </w:numPr>
        <w:spacing w:line="360" w:lineRule="auto"/>
      </w:pPr>
      <w:r>
        <w:t>A</w:t>
      </w:r>
      <w:r w:rsidR="001B10E6" w:rsidRPr="006120F3">
        <w:t>cceptance protocols</w:t>
      </w:r>
      <w:r>
        <w:t>.</w:t>
      </w:r>
    </w:p>
    <w:p w14:paraId="74A3A2D8" w14:textId="630DD944" w:rsidR="001B10E6" w:rsidRPr="006120F3" w:rsidRDefault="002C6894" w:rsidP="003C58C0">
      <w:pPr>
        <w:pStyle w:val="ListParagraph"/>
        <w:numPr>
          <w:ilvl w:val="0"/>
          <w:numId w:val="22"/>
        </w:numPr>
        <w:spacing w:line="360" w:lineRule="auto"/>
      </w:pPr>
      <w:r>
        <w:t>I</w:t>
      </w:r>
      <w:r w:rsidR="001B10E6" w:rsidRPr="006120F3">
        <w:t>nvoices for purchased goods, together with proofs of payment</w:t>
      </w:r>
      <w:r>
        <w:t>.</w:t>
      </w:r>
    </w:p>
    <w:p w14:paraId="44AB402A" w14:textId="471026A3" w:rsidR="001B10E6" w:rsidRPr="006120F3" w:rsidRDefault="002C6894" w:rsidP="003C58C0">
      <w:pPr>
        <w:pStyle w:val="ListParagraph"/>
        <w:numPr>
          <w:ilvl w:val="0"/>
          <w:numId w:val="22"/>
        </w:numPr>
        <w:spacing w:line="360" w:lineRule="auto"/>
      </w:pPr>
      <w:r>
        <w:t>D</w:t>
      </w:r>
      <w:r w:rsidR="001B10E6" w:rsidRPr="006120F3">
        <w:t>ocuments relating to the tendering procedure/market research carried out</w:t>
      </w:r>
      <w:r>
        <w:t>.</w:t>
      </w:r>
    </w:p>
    <w:p w14:paraId="78C9634C" w14:textId="13A2D775" w:rsidR="001B10E6" w:rsidRPr="006120F3" w:rsidRDefault="002C6894" w:rsidP="003C58C0">
      <w:pPr>
        <w:pStyle w:val="ListParagraph"/>
        <w:numPr>
          <w:ilvl w:val="0"/>
          <w:numId w:val="22"/>
        </w:numPr>
        <w:spacing w:line="360" w:lineRule="auto"/>
      </w:pPr>
      <w:r>
        <w:t>P</w:t>
      </w:r>
      <w:r w:rsidR="001B10E6" w:rsidRPr="006120F3">
        <w:t>rintouts from the equipment accounting records</w:t>
      </w:r>
      <w:r>
        <w:t>.</w:t>
      </w:r>
    </w:p>
    <w:p w14:paraId="60F344DB" w14:textId="7F3AC4B4" w:rsidR="001B10E6" w:rsidRPr="006120F3" w:rsidRDefault="002C6894" w:rsidP="003C58C0">
      <w:pPr>
        <w:pStyle w:val="ListParagraph"/>
        <w:numPr>
          <w:ilvl w:val="0"/>
          <w:numId w:val="22"/>
        </w:numPr>
        <w:spacing w:line="360" w:lineRule="auto"/>
      </w:pPr>
      <w:r>
        <w:t>P</w:t>
      </w:r>
      <w:r w:rsidR="001B10E6" w:rsidRPr="006120F3">
        <w:t xml:space="preserve">hotographs of equipment evidencing publicity markings in accordance with </w:t>
      </w:r>
      <w:r w:rsidR="00E51D84" w:rsidRPr="006120F3">
        <w:t xml:space="preserve">the </w:t>
      </w:r>
      <w:r w:rsidR="001B10E6" w:rsidRPr="006120F3">
        <w:t>Programme guidelines</w:t>
      </w:r>
      <w:r>
        <w:t>.</w:t>
      </w:r>
    </w:p>
    <w:p w14:paraId="6FA57546" w14:textId="0536FF8F" w:rsidR="001B10E6" w:rsidRPr="006120F3" w:rsidRDefault="002C6894" w:rsidP="003C58C0">
      <w:pPr>
        <w:pStyle w:val="ListParagraph"/>
        <w:numPr>
          <w:ilvl w:val="0"/>
          <w:numId w:val="22"/>
        </w:numPr>
        <w:spacing w:line="360" w:lineRule="auto"/>
      </w:pPr>
      <w:r>
        <w:t>D</w:t>
      </w:r>
      <w:r w:rsidR="001B10E6" w:rsidRPr="006120F3">
        <w:t>escription of the depreciation method applied for equipment reported under the project if applicable.</w:t>
      </w:r>
    </w:p>
    <w:p w14:paraId="664CAFFA" w14:textId="2F33E1B6" w:rsidR="001B10E6" w:rsidRPr="001E4FF4" w:rsidRDefault="001B10E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Examples of ineligible expenditure:</w:t>
      </w:r>
    </w:p>
    <w:p w14:paraId="289C3BA9" w14:textId="486226AB" w:rsidR="001B10E6" w:rsidRPr="006120F3" w:rsidRDefault="002C6894" w:rsidP="003C58C0">
      <w:pPr>
        <w:pStyle w:val="ListParagraph"/>
        <w:numPr>
          <w:ilvl w:val="0"/>
          <w:numId w:val="22"/>
        </w:numPr>
        <w:spacing w:line="360" w:lineRule="auto"/>
      </w:pPr>
      <w:r>
        <w:t>P</w:t>
      </w:r>
      <w:r w:rsidR="001B10E6" w:rsidRPr="006120F3">
        <w:t>urchases of equipment not covered or in quantities exceeding those specified in the approved Application Form/not approved by the JS</w:t>
      </w:r>
      <w:r>
        <w:t>.</w:t>
      </w:r>
    </w:p>
    <w:p w14:paraId="0CA99425" w14:textId="52A16127" w:rsidR="001B10E6" w:rsidRPr="006120F3" w:rsidRDefault="002C6894" w:rsidP="003C58C0">
      <w:pPr>
        <w:pStyle w:val="ListParagraph"/>
        <w:numPr>
          <w:ilvl w:val="0"/>
          <w:numId w:val="22"/>
        </w:numPr>
        <w:spacing w:line="360" w:lineRule="auto"/>
      </w:pPr>
      <w:r>
        <w:t>P</w:t>
      </w:r>
      <w:r w:rsidR="001B10E6" w:rsidRPr="006120F3">
        <w:t>urchases of equipment made that disregard the public procurement law/programme tendering principles (partial or total ineligibility, depending on the type of violation)</w:t>
      </w:r>
      <w:r>
        <w:t>.</w:t>
      </w:r>
    </w:p>
    <w:p w14:paraId="1A013789" w14:textId="1B007820" w:rsidR="00FB349E" w:rsidRPr="006120F3" w:rsidRDefault="002C6894" w:rsidP="003C58C0">
      <w:pPr>
        <w:pStyle w:val="ListParagraph"/>
        <w:numPr>
          <w:ilvl w:val="0"/>
          <w:numId w:val="22"/>
        </w:numPr>
        <w:spacing w:line="360" w:lineRule="auto"/>
      </w:pPr>
      <w:r>
        <w:t>R</w:t>
      </w:r>
      <w:r w:rsidR="001B10E6" w:rsidRPr="006120F3">
        <w:t>esidual value (accounting liquidation value) of equipment after project implementation</w:t>
      </w:r>
      <w:r>
        <w:t>.</w:t>
      </w:r>
    </w:p>
    <w:p w14:paraId="7466D8E8" w14:textId="7E0C2633" w:rsidR="001B10E6" w:rsidRPr="006120F3" w:rsidRDefault="002C6894" w:rsidP="003C58C0">
      <w:pPr>
        <w:pStyle w:val="ListParagraph"/>
        <w:numPr>
          <w:ilvl w:val="0"/>
          <w:numId w:val="22"/>
        </w:numPr>
        <w:spacing w:line="360" w:lineRule="auto"/>
      </w:pPr>
      <w:r>
        <w:t>P</w:t>
      </w:r>
      <w:r w:rsidR="001B10E6" w:rsidRPr="006120F3">
        <w:t>urchase of company cars.</w:t>
      </w:r>
    </w:p>
    <w:p w14:paraId="721F70D8" w14:textId="77777777" w:rsidR="001B10E6" w:rsidRPr="001E4FF4" w:rsidRDefault="001B10E6"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Cross-border relevance</w:t>
      </w:r>
    </w:p>
    <w:p w14:paraId="3B390E26" w14:textId="77777777" w:rsidR="001B10E6" w:rsidRPr="006120F3" w:rsidRDefault="001B10E6" w:rsidP="003C58C0">
      <w:pPr>
        <w:spacing w:line="360" w:lineRule="auto"/>
      </w:pPr>
      <w:r w:rsidRPr="006120F3">
        <w:lastRenderedPageBreak/>
        <w:t>Equipment directly contributing to an output of a project may be financed from the South Baltic Programme if it has a clear cross-border character, meaning that it either:</w:t>
      </w:r>
    </w:p>
    <w:p w14:paraId="16E08F10" w14:textId="20892C19" w:rsidR="001B10E6" w:rsidRPr="006120F3" w:rsidRDefault="002C6894" w:rsidP="003C58C0">
      <w:pPr>
        <w:pStyle w:val="ListParagraph"/>
        <w:numPr>
          <w:ilvl w:val="0"/>
          <w:numId w:val="22"/>
        </w:numPr>
        <w:spacing w:line="360" w:lineRule="auto"/>
      </w:pPr>
      <w:r w:rsidRPr="002C6894">
        <w:t>H</w:t>
      </w:r>
      <w:r w:rsidR="001B10E6" w:rsidRPr="002C6894">
        <w:t>as a</w:t>
      </w:r>
      <w:r w:rsidR="001B10E6" w:rsidRPr="006120F3">
        <w:rPr>
          <w:rFonts w:ascii="Open Sans SemiBold" w:eastAsia="Open Sans SemiBold" w:hAnsi="Open Sans SemiBold" w:cs="Open Sans SemiBold"/>
          <w:bCs/>
          <w:color w:val="003399"/>
        </w:rPr>
        <w:t xml:space="preserve"> pilot character</w:t>
      </w:r>
      <w:r w:rsidR="001B10E6" w:rsidRPr="006120F3">
        <w:t>, i.e., that it creates a transferable practical solution (</w:t>
      </w:r>
      <w:r w:rsidR="00502990" w:rsidRPr="006120F3">
        <w:t>blueprint</w:t>
      </w:r>
      <w:r w:rsidR="001B10E6" w:rsidRPr="006120F3">
        <w:t xml:space="preserve">) through a case study in one area, which is in the further project jointly evaluated by the </w:t>
      </w:r>
      <w:r w:rsidR="008122ED" w:rsidRPr="006120F3">
        <w:t>p</w:t>
      </w:r>
      <w:r w:rsidR="001B10E6" w:rsidRPr="006120F3">
        <w:t>artners and prepared for use and implementation in at least one of the other participating countries. Projects that include such components are expected to show strong transfer/dissemination activities that ensure the application of the developed solution in other countries and contexts; or</w:t>
      </w:r>
    </w:p>
    <w:p w14:paraId="3FDD28B0" w14:textId="088D1ABA" w:rsidR="001B10E6" w:rsidRPr="006120F3" w:rsidRDefault="002C6894" w:rsidP="003C58C0">
      <w:pPr>
        <w:pStyle w:val="ListParagraph"/>
        <w:numPr>
          <w:ilvl w:val="0"/>
          <w:numId w:val="22"/>
        </w:numPr>
        <w:spacing w:line="360" w:lineRule="auto"/>
      </w:pPr>
      <w:r w:rsidRPr="002C6894">
        <w:t>H</w:t>
      </w:r>
      <w:r w:rsidR="001B10E6" w:rsidRPr="002C6894">
        <w:t>as the</w:t>
      </w:r>
      <w:r w:rsidR="001B10E6" w:rsidRPr="006120F3">
        <w:rPr>
          <w:rFonts w:ascii="Open Sans SemiBold" w:eastAsia="Open Sans SemiBold" w:hAnsi="Open Sans SemiBold" w:cs="Open Sans SemiBold"/>
          <w:bCs/>
          <w:color w:val="003399"/>
        </w:rPr>
        <w:t xml:space="preserve"> character of filling missing links </w:t>
      </w:r>
      <w:r w:rsidR="001B10E6" w:rsidRPr="002C6894">
        <w:t>at the level of the South Baltic area</w:t>
      </w:r>
      <w:r w:rsidR="001B10E6" w:rsidRPr="006120F3">
        <w:t>, i.e.</w:t>
      </w:r>
      <w:r w:rsidR="00FB349E" w:rsidRPr="006120F3">
        <w:t>,</w:t>
      </w:r>
      <w:r w:rsidR="001B10E6" w:rsidRPr="006120F3">
        <w:t xml:space="preserve"> it follows a cross-border physical or functional link (e.g.</w:t>
      </w:r>
      <w:r w:rsidR="00502990" w:rsidRPr="006120F3">
        <w:t>,</w:t>
      </w:r>
      <w:r w:rsidR="001B10E6" w:rsidRPr="006120F3">
        <w:t xml:space="preserve"> tourism route, network), its placement has been analysed from a cross-border perspective and it demonstrates a socio-economic or environmental impact across national borders.</w:t>
      </w:r>
    </w:p>
    <w:p w14:paraId="3632945D" w14:textId="14536491" w:rsidR="001B10E6" w:rsidRPr="00721CCC" w:rsidRDefault="00424BEF" w:rsidP="003C58C0">
      <w:pPr>
        <w:pStyle w:val="Heading3"/>
        <w:spacing w:line="360" w:lineRule="auto"/>
        <w:rPr>
          <w:rFonts w:ascii="Open Sans SemiBold" w:hAnsi="Open Sans SemiBold" w:cs="Open Sans SemiBold"/>
        </w:rPr>
      </w:pPr>
      <w:bookmarkStart w:id="89" w:name="_Toc147242413"/>
      <w:r w:rsidRPr="00C223C5">
        <w:t>3.7 Infrastructure and works</w:t>
      </w:r>
      <w:bookmarkEnd w:id="89"/>
    </w:p>
    <w:p w14:paraId="26135CFC" w14:textId="57B5D5BC" w:rsidR="00146702" w:rsidRPr="001E4FF4" w:rsidRDefault="00146702"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 xml:space="preserve">Costs of </w:t>
      </w:r>
      <w:r w:rsidR="001C2A6A" w:rsidRPr="001E4FF4">
        <w:rPr>
          <w:rFonts w:ascii="Open Sans SemiBold" w:eastAsia="Open Sans SemiBold" w:hAnsi="Open Sans SemiBold" w:cs="Open Sans SemiBold"/>
          <w:bCs/>
          <w:color w:val="003399"/>
        </w:rPr>
        <w:t>infrastructure and works</w:t>
      </w:r>
      <w:r w:rsidRPr="001E4FF4">
        <w:rPr>
          <w:rFonts w:ascii="Open Sans SemiBold" w:eastAsia="Open Sans SemiBold" w:hAnsi="Open Sans SemiBold" w:cs="Open Sans SemiBold"/>
          <w:bCs/>
          <w:color w:val="003399"/>
        </w:rPr>
        <w:t xml:space="preserve"> shall be reported as real costs.</w:t>
      </w:r>
    </w:p>
    <w:p w14:paraId="0EA55840" w14:textId="05573DB1" w:rsidR="00424BEF" w:rsidRPr="00721CCC" w:rsidRDefault="00424BEF" w:rsidP="003C58C0">
      <w:pPr>
        <w:spacing w:line="360" w:lineRule="auto"/>
      </w:pPr>
      <w:r w:rsidRPr="00721CCC">
        <w:t xml:space="preserve">Costs under this category refer to the infrastructure and works required for </w:t>
      </w:r>
      <w:r w:rsidR="002103C2" w:rsidRPr="00721CCC">
        <w:t xml:space="preserve">the </w:t>
      </w:r>
      <w:r w:rsidRPr="00721CCC">
        <w:t xml:space="preserve">project implementation. Any costs for infrastructure and works will be clearly justified in the project application and necessary for the effective implementation of the operation. The Programme does not support genuine </w:t>
      </w:r>
      <w:r w:rsidR="00F02972" w:rsidRPr="00721CCC">
        <w:t>‘</w:t>
      </w:r>
      <w:r w:rsidRPr="00721CCC">
        <w:t>infrastructure projects</w:t>
      </w:r>
      <w:r w:rsidR="00F02972" w:rsidRPr="00721CCC">
        <w:t>’</w:t>
      </w:r>
      <w:r w:rsidRPr="00721CCC">
        <w:t>, i.e., projects in which the main or only objective is to finance one or more infrastructure objects. If planned, infrastructure and works should directly contribute to or constitute an output of a project (i.e.</w:t>
      </w:r>
      <w:r w:rsidR="0042750E" w:rsidRPr="00721CCC">
        <w:t>,</w:t>
      </w:r>
      <w:r w:rsidRPr="00721CCC">
        <w:t xml:space="preserve"> the realised infrastructure will directly affect the project target group or the project area and should </w:t>
      </w:r>
      <w:r w:rsidR="002103C2" w:rsidRPr="00721CCC">
        <w:t xml:space="preserve">also </w:t>
      </w:r>
      <w:r w:rsidRPr="00721CCC">
        <w:t xml:space="preserve">be </w:t>
      </w:r>
      <w:r w:rsidRPr="00721CCC">
        <w:lastRenderedPageBreak/>
        <w:t xml:space="preserve">used after the project is implemented) and are of </w:t>
      </w:r>
      <w:r w:rsidR="002103C2" w:rsidRPr="00721CCC">
        <w:t xml:space="preserve">a </w:t>
      </w:r>
      <w:r w:rsidRPr="00721CCC">
        <w:t>supplementary nature. Costs related to infrastructure and works may cover, for instance:</w:t>
      </w:r>
    </w:p>
    <w:p w14:paraId="7837505C" w14:textId="7C24AFED" w:rsidR="00424BEF" w:rsidRPr="00721CCC" w:rsidRDefault="002C6894" w:rsidP="003C58C0">
      <w:pPr>
        <w:pStyle w:val="ListParagraph"/>
        <w:numPr>
          <w:ilvl w:val="0"/>
          <w:numId w:val="22"/>
        </w:numPr>
        <w:spacing w:line="360" w:lineRule="auto"/>
      </w:pPr>
      <w:r>
        <w:t>C</w:t>
      </w:r>
      <w:r w:rsidR="00424BEF" w:rsidRPr="00721CCC">
        <w:t>onstruction of infrastructure</w:t>
      </w:r>
      <w:r>
        <w:t>.</w:t>
      </w:r>
    </w:p>
    <w:p w14:paraId="7D12D3B4" w14:textId="504A9FF5" w:rsidR="00424BEF" w:rsidRPr="00721CCC" w:rsidRDefault="002C6894" w:rsidP="003C58C0">
      <w:pPr>
        <w:pStyle w:val="ListParagraph"/>
        <w:numPr>
          <w:ilvl w:val="0"/>
          <w:numId w:val="22"/>
        </w:numPr>
        <w:spacing w:line="360" w:lineRule="auto"/>
      </w:pPr>
      <w:r>
        <w:t>W</w:t>
      </w:r>
      <w:r w:rsidR="00424BEF" w:rsidRPr="00721CCC">
        <w:t>orks/delivery, i.e., labour bought from a supplier that is necessary to create and ensure the functioning of</w:t>
      </w:r>
      <w:r w:rsidR="002103C2" w:rsidRPr="00721CCC">
        <w:t xml:space="preserve"> the</w:t>
      </w:r>
      <w:r w:rsidR="00424BEF" w:rsidRPr="00721CCC">
        <w:t xml:space="preserve"> infrastructure (e.g.</w:t>
      </w:r>
      <w:r w:rsidR="00945283" w:rsidRPr="00721CCC">
        <w:t>,</w:t>
      </w:r>
      <w:r w:rsidR="00424BEF" w:rsidRPr="00721CCC">
        <w:t xml:space="preserve"> supervision of construction works).</w:t>
      </w:r>
    </w:p>
    <w:p w14:paraId="56508B03" w14:textId="5DCE6B66" w:rsidR="00424BEF" w:rsidRPr="00721CCC" w:rsidRDefault="00945283" w:rsidP="003C58C0">
      <w:pPr>
        <w:spacing w:line="360" w:lineRule="auto"/>
      </w:pPr>
      <w:r w:rsidRPr="00721CCC">
        <w:t>Examples of eligible expenditures:</w:t>
      </w:r>
    </w:p>
    <w:p w14:paraId="0724CA96" w14:textId="3875CF02" w:rsidR="00945283" w:rsidRPr="00721CCC" w:rsidRDefault="002C6894" w:rsidP="003C58C0">
      <w:pPr>
        <w:pStyle w:val="ListParagraph"/>
        <w:numPr>
          <w:ilvl w:val="0"/>
          <w:numId w:val="22"/>
        </w:numPr>
        <w:spacing w:line="360" w:lineRule="auto"/>
      </w:pPr>
      <w:r>
        <w:t>C</w:t>
      </w:r>
      <w:r w:rsidR="00945283" w:rsidRPr="00721CCC">
        <w:t>harges for construction permits</w:t>
      </w:r>
      <w:r>
        <w:t>.</w:t>
      </w:r>
    </w:p>
    <w:p w14:paraId="297C85A1" w14:textId="20C34E27" w:rsidR="00945283" w:rsidRPr="00721CCC" w:rsidRDefault="002C6894" w:rsidP="003C58C0">
      <w:pPr>
        <w:pStyle w:val="ListParagraph"/>
        <w:numPr>
          <w:ilvl w:val="0"/>
          <w:numId w:val="22"/>
        </w:numPr>
        <w:spacing w:line="360" w:lineRule="auto"/>
      </w:pPr>
      <w:r>
        <w:t>P</w:t>
      </w:r>
      <w:r w:rsidR="00945283" w:rsidRPr="00721CCC">
        <w:t>urchase of undeveloped property or real estate, if it is inseparably linked to the implementation of the project (it will not exceed 10% of the total amount of eligible expenditure of the project)</w:t>
      </w:r>
      <w:r>
        <w:t>.</w:t>
      </w:r>
    </w:p>
    <w:p w14:paraId="291F409D" w14:textId="51073F5C" w:rsidR="00945283" w:rsidRPr="00721CCC" w:rsidRDefault="002C6894" w:rsidP="003C58C0">
      <w:pPr>
        <w:pStyle w:val="ListParagraph"/>
        <w:numPr>
          <w:ilvl w:val="0"/>
          <w:numId w:val="22"/>
        </w:numPr>
        <w:spacing w:line="360" w:lineRule="auto"/>
      </w:pPr>
      <w:r>
        <w:t>S</w:t>
      </w:r>
      <w:r w:rsidR="00945283" w:rsidRPr="00721CCC">
        <w:t>ite preparation works, including surveying works</w:t>
      </w:r>
      <w:r>
        <w:t>.</w:t>
      </w:r>
    </w:p>
    <w:p w14:paraId="2EFE99AF" w14:textId="6691B201" w:rsidR="00945283" w:rsidRPr="00721CCC" w:rsidRDefault="002C6894" w:rsidP="003C58C0">
      <w:pPr>
        <w:pStyle w:val="ListParagraph"/>
        <w:numPr>
          <w:ilvl w:val="0"/>
          <w:numId w:val="22"/>
        </w:numPr>
        <w:spacing w:line="360" w:lineRule="auto"/>
      </w:pPr>
      <w:r>
        <w:t>G</w:t>
      </w:r>
      <w:r w:rsidR="00945283" w:rsidRPr="00721CCC">
        <w:t>round works, construction and assembly works, development works, finishing works, fitting out works, deconstruction works</w:t>
      </w:r>
      <w:r>
        <w:t>.</w:t>
      </w:r>
    </w:p>
    <w:p w14:paraId="785A8F76" w14:textId="45656A00" w:rsidR="00945283" w:rsidRPr="00721CCC" w:rsidRDefault="002C6894" w:rsidP="003C58C0">
      <w:pPr>
        <w:pStyle w:val="ListParagraph"/>
        <w:numPr>
          <w:ilvl w:val="0"/>
          <w:numId w:val="22"/>
        </w:numPr>
        <w:spacing w:line="360" w:lineRule="auto"/>
      </w:pPr>
      <w:r>
        <w:t>S</w:t>
      </w:r>
      <w:r w:rsidR="00945283" w:rsidRPr="00721CCC">
        <w:t>upervision of works on behalf of the investor regarding the proper implementation of the investment and heritage conservator supervision</w:t>
      </w:r>
      <w:r>
        <w:t>.</w:t>
      </w:r>
    </w:p>
    <w:p w14:paraId="453E873F" w14:textId="486BDEBA" w:rsidR="00945283" w:rsidRPr="00721CCC" w:rsidRDefault="002C6894" w:rsidP="003C58C0">
      <w:pPr>
        <w:pStyle w:val="ListParagraph"/>
        <w:numPr>
          <w:ilvl w:val="0"/>
          <w:numId w:val="22"/>
        </w:numPr>
        <w:spacing w:line="360" w:lineRule="auto"/>
      </w:pPr>
      <w:r>
        <w:t>C</w:t>
      </w:r>
      <w:r w:rsidR="00945283" w:rsidRPr="00721CCC">
        <w:t>osts of employing a contract engineer, site manager and/or site coordinator in relation to the implementation of the project</w:t>
      </w:r>
      <w:r>
        <w:t>.</w:t>
      </w:r>
    </w:p>
    <w:p w14:paraId="79544660" w14:textId="43AC1767" w:rsidR="00945283" w:rsidRPr="00721CCC" w:rsidRDefault="002C6894" w:rsidP="003C58C0">
      <w:pPr>
        <w:pStyle w:val="ListParagraph"/>
        <w:numPr>
          <w:ilvl w:val="0"/>
          <w:numId w:val="22"/>
        </w:numPr>
        <w:spacing w:line="360" w:lineRule="auto"/>
      </w:pPr>
      <w:r>
        <w:t>A</w:t>
      </w:r>
      <w:r w:rsidR="00945283" w:rsidRPr="00721CCC">
        <w:t>dministrative fees directly linked to activities and work carried out as part of the project</w:t>
      </w:r>
      <w:r>
        <w:t>.</w:t>
      </w:r>
    </w:p>
    <w:p w14:paraId="52FB20C3" w14:textId="73F4AC69" w:rsidR="00945283" w:rsidRPr="00721CCC" w:rsidRDefault="002C6894" w:rsidP="003C58C0">
      <w:pPr>
        <w:pStyle w:val="ListParagraph"/>
        <w:numPr>
          <w:ilvl w:val="0"/>
          <w:numId w:val="22"/>
        </w:numPr>
        <w:spacing w:line="360" w:lineRule="auto"/>
      </w:pPr>
      <w:r>
        <w:t>C</w:t>
      </w:r>
      <w:r w:rsidR="00945283" w:rsidRPr="00721CCC">
        <w:t>onstruction, expansion or restructuring/renovation of premises and technical infrastructure necessary for the implementation of the project (e.g.</w:t>
      </w:r>
      <w:r w:rsidR="00EE3DB9" w:rsidRPr="00721CCC">
        <w:t>,</w:t>
      </w:r>
      <w:r w:rsidR="00945283" w:rsidRPr="00721CCC">
        <w:t xml:space="preserve"> server rooms).</w:t>
      </w:r>
    </w:p>
    <w:p w14:paraId="40485496" w14:textId="42DDE3B2" w:rsidR="00945283" w:rsidRPr="001E4FF4" w:rsidRDefault="00945283"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Examples of ineligible expenditures:</w:t>
      </w:r>
    </w:p>
    <w:p w14:paraId="03025427" w14:textId="07306CEC" w:rsidR="00945283" w:rsidRPr="00721CCC" w:rsidRDefault="002C6894" w:rsidP="003C58C0">
      <w:pPr>
        <w:pStyle w:val="ListParagraph"/>
        <w:numPr>
          <w:ilvl w:val="0"/>
          <w:numId w:val="22"/>
        </w:numPr>
        <w:spacing w:line="360" w:lineRule="auto"/>
      </w:pPr>
      <w:r>
        <w:t>E</w:t>
      </w:r>
      <w:r w:rsidR="00945283" w:rsidRPr="00721CCC">
        <w:t>xpenditure not covered by the approved Application Form</w:t>
      </w:r>
      <w:r w:rsidR="00D07B80" w:rsidRPr="00721CCC">
        <w:t>/</w:t>
      </w:r>
      <w:r w:rsidR="00945283" w:rsidRPr="00721CCC">
        <w:t xml:space="preserve">not approved by </w:t>
      </w:r>
      <w:r w:rsidR="002103C2" w:rsidRPr="00721CCC">
        <w:t xml:space="preserve">the </w:t>
      </w:r>
      <w:r w:rsidR="00945283" w:rsidRPr="00721CCC">
        <w:t>JS</w:t>
      </w:r>
      <w:r>
        <w:t>.</w:t>
      </w:r>
    </w:p>
    <w:p w14:paraId="76C94BC7" w14:textId="15ACAF7C" w:rsidR="00301F9F" w:rsidRPr="00721CCC" w:rsidRDefault="002C6894" w:rsidP="003C58C0">
      <w:pPr>
        <w:pStyle w:val="ListParagraph"/>
        <w:numPr>
          <w:ilvl w:val="0"/>
          <w:numId w:val="22"/>
        </w:numPr>
        <w:spacing w:line="360" w:lineRule="auto"/>
      </w:pPr>
      <w:r>
        <w:lastRenderedPageBreak/>
        <w:t>E</w:t>
      </w:r>
      <w:r w:rsidR="00945283" w:rsidRPr="00721CCC">
        <w:t xml:space="preserve">xpenditure related to preparing a feasibility study or an environmental impact assessment (expenditure for commissioning such analyses should be included in the </w:t>
      </w:r>
      <w:r w:rsidR="00F02972" w:rsidRPr="00721CCC">
        <w:t>‘</w:t>
      </w:r>
      <w:r w:rsidR="00945283" w:rsidRPr="00721CCC">
        <w:t>External expertise and service costs</w:t>
      </w:r>
      <w:r w:rsidR="00F02972" w:rsidRPr="00721CCC">
        <w:t>’</w:t>
      </w:r>
      <w:r w:rsidR="00945283" w:rsidRPr="00721CCC">
        <w:t xml:space="preserve"> budget category)</w:t>
      </w:r>
      <w:r>
        <w:t>.</w:t>
      </w:r>
    </w:p>
    <w:p w14:paraId="5574F6C2" w14:textId="2CA5F8F9" w:rsidR="00945283" w:rsidRPr="00721CCC" w:rsidRDefault="002C6894" w:rsidP="003C58C0">
      <w:pPr>
        <w:pStyle w:val="ListParagraph"/>
        <w:numPr>
          <w:ilvl w:val="0"/>
          <w:numId w:val="22"/>
        </w:numPr>
        <w:spacing w:line="360" w:lineRule="auto"/>
      </w:pPr>
      <w:r>
        <w:t>E</w:t>
      </w:r>
      <w:r w:rsidR="00945283" w:rsidRPr="00721CCC">
        <w:t xml:space="preserve">xpenditure relating to construction works, where the contractor has been selected in violation of the public procurement law (partial or total ineligibility, depending on the extent of </w:t>
      </w:r>
      <w:r w:rsidR="002103C2" w:rsidRPr="00721CCC">
        <w:t xml:space="preserve">the </w:t>
      </w:r>
      <w:r w:rsidR="00945283" w:rsidRPr="00721CCC">
        <w:t>given irregularity).</w:t>
      </w:r>
    </w:p>
    <w:p w14:paraId="3B384729" w14:textId="4EABADC8" w:rsidR="00424BEF" w:rsidRPr="00721CCC" w:rsidRDefault="00424BEF" w:rsidP="003C58C0">
      <w:pPr>
        <w:spacing w:line="360" w:lineRule="auto"/>
      </w:pPr>
      <w:r w:rsidRPr="00721CCC">
        <w:t>To support the incurred costs, the necessary documentation will be retained by the project partners, for example:</w:t>
      </w:r>
    </w:p>
    <w:p w14:paraId="790EB92C" w14:textId="278929B4" w:rsidR="00424BEF" w:rsidRPr="00721CCC" w:rsidRDefault="002C6894" w:rsidP="003C58C0">
      <w:pPr>
        <w:pStyle w:val="ListParagraph"/>
        <w:numPr>
          <w:ilvl w:val="0"/>
          <w:numId w:val="22"/>
        </w:numPr>
        <w:spacing w:line="360" w:lineRule="auto"/>
      </w:pPr>
      <w:r>
        <w:t>A</w:t>
      </w:r>
      <w:r w:rsidR="00424BEF" w:rsidRPr="00721CCC">
        <w:t>cceptance protocols</w:t>
      </w:r>
      <w:r>
        <w:t>.</w:t>
      </w:r>
    </w:p>
    <w:p w14:paraId="44E2BF8D" w14:textId="42FE6D56" w:rsidR="00424BEF" w:rsidRPr="00721CCC" w:rsidRDefault="002C6894" w:rsidP="003C58C0">
      <w:pPr>
        <w:pStyle w:val="ListParagraph"/>
        <w:numPr>
          <w:ilvl w:val="0"/>
          <w:numId w:val="22"/>
        </w:numPr>
        <w:spacing w:line="360" w:lineRule="auto"/>
      </w:pPr>
      <w:r>
        <w:t>I</w:t>
      </w:r>
      <w:r w:rsidR="00424BEF" w:rsidRPr="00721CCC">
        <w:t xml:space="preserve">nvoices for </w:t>
      </w:r>
      <w:r w:rsidR="002103C2" w:rsidRPr="00721CCC">
        <w:t xml:space="preserve">the </w:t>
      </w:r>
      <w:r w:rsidR="00424BEF" w:rsidRPr="00721CCC">
        <w:t>purchased infrastructure and works, together with proofs of payment</w:t>
      </w:r>
      <w:r>
        <w:t>.</w:t>
      </w:r>
    </w:p>
    <w:p w14:paraId="49DB53B9" w14:textId="0721C769" w:rsidR="00424BEF" w:rsidRPr="00721CCC" w:rsidRDefault="002C6894" w:rsidP="003C58C0">
      <w:pPr>
        <w:pStyle w:val="ListParagraph"/>
        <w:numPr>
          <w:ilvl w:val="0"/>
          <w:numId w:val="22"/>
        </w:numPr>
        <w:spacing w:line="360" w:lineRule="auto"/>
      </w:pPr>
      <w:r>
        <w:t>D</w:t>
      </w:r>
      <w:r w:rsidR="00424BEF" w:rsidRPr="00721CCC">
        <w:t>ocuments relating to the tendering procedure/market research carried out</w:t>
      </w:r>
      <w:r>
        <w:t>.</w:t>
      </w:r>
    </w:p>
    <w:p w14:paraId="7E27AF54" w14:textId="2F8B75A0" w:rsidR="00424BEF" w:rsidRPr="00721CCC" w:rsidRDefault="002C6894" w:rsidP="003C58C0">
      <w:pPr>
        <w:pStyle w:val="ListParagraph"/>
        <w:numPr>
          <w:ilvl w:val="0"/>
          <w:numId w:val="22"/>
        </w:numPr>
        <w:spacing w:line="360" w:lineRule="auto"/>
      </w:pPr>
      <w:r>
        <w:t>P</w:t>
      </w:r>
      <w:r w:rsidR="00424BEF" w:rsidRPr="00721CCC">
        <w:t xml:space="preserve">rintouts from the accounting records of </w:t>
      </w:r>
      <w:r w:rsidR="002103C2" w:rsidRPr="00721CCC">
        <w:t xml:space="preserve">the </w:t>
      </w:r>
      <w:r w:rsidR="00424BEF" w:rsidRPr="00721CCC">
        <w:t>infrastructure objects</w:t>
      </w:r>
      <w:r>
        <w:t>.</w:t>
      </w:r>
    </w:p>
    <w:p w14:paraId="537E2286" w14:textId="07C13AD7" w:rsidR="00424BEF" w:rsidRPr="00721CCC" w:rsidRDefault="002C6894" w:rsidP="003C58C0">
      <w:pPr>
        <w:pStyle w:val="ListParagraph"/>
        <w:numPr>
          <w:ilvl w:val="0"/>
          <w:numId w:val="22"/>
        </w:numPr>
        <w:spacing w:line="360" w:lineRule="auto"/>
      </w:pPr>
      <w:r>
        <w:t>P</w:t>
      </w:r>
      <w:r w:rsidR="00424BEF" w:rsidRPr="00721CCC">
        <w:t xml:space="preserve">hotographs of equipment evidencing publicity markings in according </w:t>
      </w:r>
      <w:r w:rsidR="00A46DE3" w:rsidRPr="00721CCC">
        <w:t>with the</w:t>
      </w:r>
      <w:r w:rsidR="00424BEF" w:rsidRPr="00721CCC">
        <w:t xml:space="preserve"> Programme guidelines;</w:t>
      </w:r>
    </w:p>
    <w:p w14:paraId="28FF5602" w14:textId="77777777" w:rsidR="00424BEF" w:rsidRPr="001E4FF4" w:rsidRDefault="00424BEF" w:rsidP="003C58C0">
      <w:pPr>
        <w:spacing w:line="360" w:lineRule="auto"/>
        <w:rPr>
          <w:rFonts w:ascii="Open Sans SemiBold" w:eastAsia="Open Sans SemiBold" w:hAnsi="Open Sans SemiBold" w:cs="Open Sans SemiBold"/>
          <w:bCs/>
          <w:color w:val="003399"/>
        </w:rPr>
      </w:pPr>
      <w:r w:rsidRPr="001E4FF4">
        <w:rPr>
          <w:rFonts w:ascii="Open Sans SemiBold" w:eastAsia="Open Sans SemiBold" w:hAnsi="Open Sans SemiBold" w:cs="Open Sans SemiBold"/>
          <w:bCs/>
          <w:color w:val="003399"/>
        </w:rPr>
        <w:t>Cross-border relevance</w:t>
      </w:r>
    </w:p>
    <w:p w14:paraId="669350B5" w14:textId="0FD12522" w:rsidR="00424BEF" w:rsidRPr="00721CCC" w:rsidRDefault="00424BEF" w:rsidP="003C58C0">
      <w:pPr>
        <w:spacing w:line="360" w:lineRule="auto"/>
      </w:pPr>
      <w:bookmarkStart w:id="90" w:name="_Hlk104964505"/>
      <w:r w:rsidRPr="00D3145B">
        <w:t>Infrastructure/works directly contributing to an output and result of a project may be financed from the South Baltic Programme if they have a clear cross-border character, meaning they either:</w:t>
      </w:r>
    </w:p>
    <w:p w14:paraId="3C8C229F" w14:textId="00CD7B8C" w:rsidR="00424BEF" w:rsidRPr="00D3145B" w:rsidRDefault="002C6894" w:rsidP="003C58C0">
      <w:pPr>
        <w:pStyle w:val="ListParagraph"/>
        <w:numPr>
          <w:ilvl w:val="0"/>
          <w:numId w:val="22"/>
        </w:numPr>
        <w:spacing w:line="360" w:lineRule="auto"/>
      </w:pPr>
      <w:r>
        <w:t>H</w:t>
      </w:r>
      <w:r w:rsidR="00424BEF" w:rsidRPr="00D3145B">
        <w:t xml:space="preserve">ave </w:t>
      </w:r>
      <w:r w:rsidR="00424BEF" w:rsidRPr="00D3145B">
        <w:rPr>
          <w:rFonts w:ascii="Open Sans SemiBold" w:eastAsia="Open Sans SemiBold" w:hAnsi="Open Sans SemiBold" w:cs="Open Sans SemiBold"/>
          <w:bCs/>
          <w:color w:val="003399"/>
        </w:rPr>
        <w:t>pilot character</w:t>
      </w:r>
      <w:r w:rsidR="00424BEF" w:rsidRPr="00D3145B">
        <w:t>, i.e., that they create a transferable practical solution (</w:t>
      </w:r>
      <w:r w:rsidR="00A46DE3" w:rsidRPr="00D3145B">
        <w:t>blueprint</w:t>
      </w:r>
      <w:r w:rsidR="00424BEF" w:rsidRPr="00D3145B">
        <w:t xml:space="preserve">) through a case study in one area, which is in the further project jointly evaluated by the </w:t>
      </w:r>
      <w:r w:rsidR="008122ED" w:rsidRPr="00D3145B">
        <w:t>p</w:t>
      </w:r>
      <w:r w:rsidR="00424BEF" w:rsidRPr="00D3145B">
        <w:t xml:space="preserve">artners and prepared for use and implementation in at least one of the other participating countries. Projects that include such components are expected to show strong </w:t>
      </w:r>
      <w:r w:rsidR="00424BEF" w:rsidRPr="00D3145B">
        <w:lastRenderedPageBreak/>
        <w:t>transfer/dissemination activities that ensure the application of the developed solution in other countries and contexts; or</w:t>
      </w:r>
    </w:p>
    <w:bookmarkEnd w:id="90"/>
    <w:p w14:paraId="5A1480F8" w14:textId="124E26E6" w:rsidR="0022383A" w:rsidRPr="00D3145B" w:rsidRDefault="002C6894" w:rsidP="003C58C0">
      <w:pPr>
        <w:pStyle w:val="ListParagraph"/>
        <w:numPr>
          <w:ilvl w:val="0"/>
          <w:numId w:val="22"/>
        </w:numPr>
        <w:spacing w:line="360" w:lineRule="auto"/>
      </w:pPr>
      <w:r>
        <w:t>H</w:t>
      </w:r>
      <w:r w:rsidR="00424BEF" w:rsidRPr="00D3145B">
        <w:t xml:space="preserve">as the </w:t>
      </w:r>
      <w:r w:rsidR="00424BEF" w:rsidRPr="00D3145B">
        <w:rPr>
          <w:rFonts w:ascii="Open Sans SemiBold" w:eastAsia="Open Sans SemiBold" w:hAnsi="Open Sans SemiBold" w:cs="Open Sans SemiBold"/>
          <w:bCs/>
          <w:color w:val="003399"/>
        </w:rPr>
        <w:t>character of filling</w:t>
      </w:r>
      <w:r w:rsidR="00424BEF" w:rsidRPr="00D3145B">
        <w:t xml:space="preserve"> </w:t>
      </w:r>
      <w:r w:rsidR="00424BEF" w:rsidRPr="00D3145B">
        <w:rPr>
          <w:rFonts w:ascii="Open Sans SemiBold" w:eastAsia="Open Sans SemiBold" w:hAnsi="Open Sans SemiBold" w:cs="Open Sans SemiBold"/>
          <w:bCs/>
          <w:color w:val="003399"/>
        </w:rPr>
        <w:t>missing links</w:t>
      </w:r>
      <w:r w:rsidR="00424BEF" w:rsidRPr="00D3145B">
        <w:t xml:space="preserve"> at the level of the South Baltic area, </w:t>
      </w:r>
      <w:r w:rsidR="000F2757" w:rsidRPr="00D3145B">
        <w:t>i.e.,</w:t>
      </w:r>
      <w:r w:rsidR="00424BEF" w:rsidRPr="00D3145B">
        <w:t xml:space="preserve"> it follows a cross-border physical or functional link (e.g., common tourist offer, joint digital applications with infrastructural elements), its placement has been analysed from a cross-border perspective and it demonstrates a socio-economic or environmental impact across national borders.</w:t>
      </w:r>
    </w:p>
    <w:p w14:paraId="432374B3" w14:textId="7775D2A5" w:rsidR="00424BEF" w:rsidRDefault="006A3637" w:rsidP="003C58C0">
      <w:pPr>
        <w:spacing w:line="360" w:lineRule="auto"/>
        <w:rPr>
          <w:rFonts w:ascii="Open Sans SemiBold" w:eastAsia="Open Sans SemiBold" w:hAnsi="Open Sans SemiBold" w:cs="Open Sans SemiBold"/>
          <w:bCs/>
          <w:color w:val="003399"/>
        </w:rPr>
      </w:pPr>
      <w:r>
        <w:rPr>
          <w:rFonts w:ascii="Open Sans SemiBold" w:eastAsia="Open Sans SemiBold" w:hAnsi="Open Sans SemiBold" w:cs="Open Sans SemiBold"/>
          <w:bCs/>
          <w:color w:val="003399"/>
        </w:rPr>
        <w:t>NB</w:t>
      </w:r>
      <w:r w:rsidR="0022383A" w:rsidRPr="001E4FF4">
        <w:rPr>
          <w:rFonts w:ascii="Open Sans SemiBold" w:eastAsia="Open Sans SemiBold" w:hAnsi="Open Sans SemiBold" w:cs="Open Sans SemiBold"/>
          <w:bCs/>
          <w:color w:val="003399"/>
        </w:rPr>
        <w:t xml:space="preserve">: </w:t>
      </w:r>
      <w:r w:rsidR="00424BEF" w:rsidRPr="001E4FF4">
        <w:rPr>
          <w:rFonts w:ascii="Open Sans SemiBold" w:eastAsia="Open Sans SemiBold" w:hAnsi="Open Sans SemiBold" w:cs="Open Sans SemiBold"/>
          <w:bCs/>
          <w:color w:val="003399"/>
        </w:rPr>
        <w:t>Implementation of large-scale infrastructure is not possible</w:t>
      </w:r>
      <w:r w:rsidR="00EE6130" w:rsidRPr="001E4FF4">
        <w:rPr>
          <w:rFonts w:ascii="Open Sans SemiBold" w:eastAsia="Open Sans SemiBold" w:hAnsi="Open Sans SemiBold" w:cs="Open Sans SemiBold"/>
          <w:bCs/>
          <w:color w:val="003399"/>
        </w:rPr>
        <w:t>!</w:t>
      </w:r>
    </w:p>
    <w:p w14:paraId="67DF0C46" w14:textId="2BBFB2EB" w:rsidR="0060298F" w:rsidRPr="001E4FF4" w:rsidRDefault="0060298F" w:rsidP="003C58C0">
      <w:pPr>
        <w:spacing w:line="360" w:lineRule="auto"/>
        <w:rPr>
          <w:rFonts w:ascii="Open Sans SemiBold" w:eastAsia="Open Sans SemiBold" w:hAnsi="Open Sans SemiBold" w:cs="Open Sans SemiBold"/>
          <w:bCs/>
          <w:color w:val="003399"/>
        </w:rPr>
      </w:pPr>
      <w:r>
        <w:rPr>
          <w:noProof/>
        </w:rPr>
        <mc:AlternateContent>
          <mc:Choice Requires="wps">
            <w:drawing>
              <wp:inline distT="0" distB="0" distL="0" distR="0" wp14:anchorId="743FB1C4" wp14:editId="4A93A895">
                <wp:extent cx="5751830" cy="4686300"/>
                <wp:effectExtent l="0" t="0" r="20320" b="19050"/>
                <wp:docPr id="81266566"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4686300"/>
                        </a:xfrm>
                        <a:prstGeom prst="rect">
                          <a:avLst/>
                        </a:prstGeom>
                        <a:ln w="12700">
                          <a:solidFill>
                            <a:srgbClr val="003399"/>
                          </a:solidFill>
                          <a:prstDash val="solid"/>
                        </a:ln>
                      </wps:spPr>
                      <wps:txbx>
                        <w:txbxContent>
                          <w:p w14:paraId="61403B0D" w14:textId="77777777" w:rsidR="0060298F" w:rsidRPr="00D3145B" w:rsidRDefault="0060298F" w:rsidP="0060298F">
                            <w:r w:rsidRPr="00D3145B">
                              <w:t>Examples of infrastructure that may be financed within the South Baltic Programme:</w:t>
                            </w:r>
                          </w:p>
                          <w:p w14:paraId="78263B1C" w14:textId="77777777" w:rsidR="0060298F" w:rsidRPr="006A3637" w:rsidRDefault="0060298F" w:rsidP="0060298F">
                            <w:pPr>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 xml:space="preserve">Example 1 (pilot character): </w:t>
                            </w:r>
                          </w:p>
                          <w:p w14:paraId="6DB695C2" w14:textId="77777777" w:rsidR="0060298F" w:rsidRPr="00D3145B" w:rsidRDefault="0060298F" w:rsidP="0060298F">
                            <w:r w:rsidRPr="00D3145B">
                              <w:t xml:space="preserve">The project develops and tests pilot installations for storm water management in different municipalities of the Programme Area to prevent the efflux of pollutants into the rivers and subsequently to the Baltic Sea. The pilot installations are part of a joint concept that can be replicated in other municipalities of the Programme area. To support the uptake of the developed and tested solution, the project implements dissemination actions related to the pilot installation (e.g., study tours to the installations, dissemination of blueprints to stakeholders. </w:t>
                            </w:r>
                          </w:p>
                          <w:p w14:paraId="109C2598" w14:textId="77777777" w:rsidR="0060298F" w:rsidRPr="006A3637" w:rsidRDefault="0060298F" w:rsidP="0060298F">
                            <w:pPr>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 xml:space="preserve">Example 2 (character of filling missing links): </w:t>
                            </w:r>
                          </w:p>
                          <w:p w14:paraId="515B0445" w14:textId="77777777" w:rsidR="0060298F" w:rsidRPr="006A3637" w:rsidRDefault="0060298F" w:rsidP="0060298F">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The project identifies untapped common cultural heritage potential in the Programme Area. To develop the common tourist offer around this cultural heritage, the project installs small-scale tourist infrastructure in cultural or tourism sites. The sites are treated as a network and the newly installed infrastructure (e.g., exhibitions, installment of interpretation panels and boards, tourist attraction signs, audio and visual guide systems, mobile pavilions, and virtual reality showcases) are promoted as a common tourist offer.</w:t>
                            </w:r>
                          </w:p>
                        </w:txbxContent>
                      </wps:txbx>
                      <wps:bodyPr wrap="square" lIns="0" tIns="0" rIns="0" bIns="0" rtlCol="0">
                        <a:noAutofit/>
                      </wps:bodyPr>
                    </wps:wsp>
                  </a:graphicData>
                </a:graphic>
              </wp:inline>
            </w:drawing>
          </mc:Choice>
          <mc:Fallback>
            <w:pict>
              <v:shape w14:anchorId="743FB1C4" id="_x0000_s1055" type="#_x0000_t202" style="width:452.9pt;height:3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" filled="f" strokecolor="#039" strokeweight="1pt">
                <v:path arrowok="t"/>
                <v:textbox inset="0,0,0,0">
                  <w:txbxContent>
                    <w:p w14:paraId="61403B0D" w14:textId="77777777" w:rsidR="0060298F" w:rsidRPr="00D3145B" w:rsidRDefault="0060298F" w:rsidP="0060298F">
                      <w:r w:rsidRPr="00D3145B">
                        <w:t>Examples of infrastructure that may be financed within the South Baltic Programme:</w:t>
                      </w:r>
                    </w:p>
                    <w:p w14:paraId="78263B1C" w14:textId="77777777" w:rsidR="0060298F" w:rsidRPr="006A3637" w:rsidRDefault="0060298F" w:rsidP="0060298F">
                      <w:pPr>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 xml:space="preserve">Example 1 (pilot character): </w:t>
                      </w:r>
                    </w:p>
                    <w:p w14:paraId="6DB695C2" w14:textId="77777777" w:rsidR="0060298F" w:rsidRPr="00D3145B" w:rsidRDefault="0060298F" w:rsidP="0060298F">
                      <w:r w:rsidRPr="00D3145B">
                        <w:t xml:space="preserve">The project develops and tests pilot installations for storm water management in different municipalities of the Programme Area to prevent the efflux of pollutants into the rivers and subsequently to the Baltic Sea. The pilot installations are part of a joint concept that can be replicated in other municipalities of the Programme area. To support the uptake of the developed and tested solution, the project implements dissemination actions related to the pilot installation (e.g., study tours to the installations, dissemination of blueprints to stakeholders. </w:t>
                      </w:r>
                    </w:p>
                    <w:p w14:paraId="109C2598" w14:textId="77777777" w:rsidR="0060298F" w:rsidRPr="006A3637" w:rsidRDefault="0060298F" w:rsidP="0060298F">
                      <w:pPr>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 xml:space="preserve">Example 2 (character of filling missing links): </w:t>
                      </w:r>
                    </w:p>
                    <w:p w14:paraId="515B0445" w14:textId="77777777" w:rsidR="0060298F" w:rsidRPr="006A3637" w:rsidRDefault="0060298F" w:rsidP="0060298F">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The project identifies untapped common cultural heritage potential in the Programme Area. To develop the common tourist offer around this cultural heritage, the project installs small-scale tourist infrastructure in cultural or tourism sites. The sites are treated as a network and the newly installed infrastructure (e.g., exhibitions, installment of interpretation panels and boards, tourist attraction signs, audio and visual guide systems, mobile pavilions, and virtual reality showcases) are promoted as a common tourist offer.</w:t>
                      </w:r>
                    </w:p>
                  </w:txbxContent>
                </v:textbox>
                <w10:anchorlock/>
              </v:shape>
            </w:pict>
          </mc:Fallback>
        </mc:AlternateContent>
      </w:r>
    </w:p>
    <w:p w14:paraId="75B7D8CE" w14:textId="77777777" w:rsidR="00387D80" w:rsidRDefault="00387D80" w:rsidP="003C58C0">
      <w:pPr>
        <w:spacing w:line="360" w:lineRule="auto"/>
      </w:pPr>
    </w:p>
    <w:p w14:paraId="601CF9E9" w14:textId="4AB47F4B" w:rsidR="00387D80" w:rsidRPr="00387D80" w:rsidRDefault="005D4CC1" w:rsidP="003C58C0">
      <w:pPr>
        <w:spacing w:line="360" w:lineRule="auto"/>
        <w:rPr>
          <w:rFonts w:ascii="Segoe UI" w:hAnsi="Segoe UI" w:cs="Segoe UI"/>
          <w:color w:val="1C4E6D"/>
          <w:lang w:val="en-GB"/>
        </w:rPr>
      </w:pPr>
      <w:r>
        <w:rPr>
          <w:noProof/>
        </w:rPr>
        <w:lastRenderedPageBreak/>
        <mc:AlternateContent>
          <mc:Choice Requires="wps">
            <w:drawing>
              <wp:inline distT="0" distB="0" distL="0" distR="0" wp14:anchorId="75EEE969" wp14:editId="4080373B">
                <wp:extent cx="5751830" cy="2524125"/>
                <wp:effectExtent l="0" t="0" r="20320" b="28575"/>
                <wp:docPr id="477120030"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2524125"/>
                        </a:xfrm>
                        <a:prstGeom prst="rect">
                          <a:avLst/>
                        </a:prstGeom>
                        <a:ln w="12700">
                          <a:solidFill>
                            <a:srgbClr val="003399"/>
                          </a:solidFill>
                          <a:prstDash val="solid"/>
                        </a:ln>
                      </wps:spPr>
                      <wps:txbx>
                        <w:txbxContent>
                          <w:p w14:paraId="061F2DB3" w14:textId="77777777" w:rsidR="005D4CC1" w:rsidRPr="006A3637" w:rsidRDefault="00D3145B" w:rsidP="00805C22">
                            <w:pPr>
                              <w:pStyle w:val="BodyText"/>
                              <w:rPr>
                                <w:rFonts w:ascii="Open Sans" w:eastAsiaTheme="minorHAnsi" w:hAnsi="Open Sans" w:cstheme="minorBidi"/>
                                <w:color w:val="auto"/>
                                <w:sz w:val="24"/>
                                <w:szCs w:val="22"/>
                                <w:lang w:eastAsia="en-US"/>
                              </w:rPr>
                            </w:pPr>
                            <w:r w:rsidRPr="006A3637">
                              <w:rPr>
                                <w:rFonts w:ascii="Open Sans SemiBold" w:eastAsia="Open Sans SemiBold" w:hAnsi="Open Sans SemiBold" w:cs="Open Sans SemiBold"/>
                                <w:bCs/>
                                <w:color w:val="003399"/>
                                <w:sz w:val="24"/>
                                <w:szCs w:val="22"/>
                                <w:lang w:eastAsia="en-US"/>
                              </w:rPr>
                              <w:t>Examples</w:t>
                            </w:r>
                            <w:r w:rsidRPr="006A3637">
                              <w:rPr>
                                <w:rFonts w:ascii="Open Sans" w:eastAsiaTheme="minorHAnsi" w:hAnsi="Open Sans" w:cstheme="minorBidi"/>
                                <w:color w:val="auto"/>
                                <w:sz w:val="24"/>
                                <w:szCs w:val="22"/>
                                <w:lang w:eastAsia="en-US"/>
                              </w:rPr>
                              <w:t xml:space="preserve"> of infrastructure that </w:t>
                            </w:r>
                            <w:r w:rsidRPr="006A3637">
                              <w:rPr>
                                <w:rFonts w:ascii="Open Sans SemiBold" w:eastAsia="Open Sans SemiBold" w:hAnsi="Open Sans SemiBold" w:cs="Open Sans SemiBold"/>
                                <w:bCs/>
                                <w:color w:val="003399"/>
                                <w:sz w:val="24"/>
                                <w:szCs w:val="22"/>
                                <w:lang w:eastAsia="en-US"/>
                              </w:rPr>
                              <w:t>may not be financed</w:t>
                            </w:r>
                            <w:r w:rsidRPr="006A3637">
                              <w:rPr>
                                <w:rFonts w:ascii="Open Sans" w:eastAsiaTheme="minorHAnsi" w:hAnsi="Open Sans" w:cstheme="minorBidi"/>
                                <w:color w:val="auto"/>
                                <w:sz w:val="24"/>
                                <w:szCs w:val="22"/>
                                <w:lang w:eastAsia="en-US"/>
                              </w:rPr>
                              <w:t xml:space="preserve"> within the South Baltic Programme:</w:t>
                            </w:r>
                          </w:p>
                          <w:p w14:paraId="54DB30FA" w14:textId="15CD836B" w:rsidR="005D4CC1" w:rsidRPr="006A3637" w:rsidRDefault="005D4CC1" w:rsidP="00805C22">
                            <w:pPr>
                              <w:pStyle w:val="BodyText"/>
                              <w:numPr>
                                <w:ilvl w:val="0"/>
                                <w:numId w:val="22"/>
                              </w:numPr>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E</w:t>
                            </w:r>
                            <w:r w:rsidR="00D3145B" w:rsidRPr="006A3637">
                              <w:rPr>
                                <w:rFonts w:ascii="Open Sans" w:eastAsiaTheme="minorHAnsi" w:hAnsi="Open Sans" w:cstheme="minorBidi"/>
                                <w:color w:val="auto"/>
                                <w:sz w:val="24"/>
                                <w:szCs w:val="22"/>
                                <w:lang w:eastAsia="en-US"/>
                              </w:rPr>
                              <w:t>lements of local infrastructure that do not have an innovative feature or help to fill a missing cross-border link, such as stand-alone infrastructure;</w:t>
                            </w:r>
                          </w:p>
                          <w:p w14:paraId="1D7CB0C5" w14:textId="50C409A1" w:rsidR="005D4CC1" w:rsidRPr="006A3637" w:rsidRDefault="005D4CC1" w:rsidP="00805C22">
                            <w:pPr>
                              <w:pStyle w:val="BodyText"/>
                              <w:numPr>
                                <w:ilvl w:val="0"/>
                                <w:numId w:val="22"/>
                              </w:numPr>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w:t>
                            </w:r>
                            <w:r w:rsidR="00D3145B" w:rsidRPr="006A3637">
                              <w:rPr>
                                <w:rFonts w:ascii="Open Sans" w:eastAsiaTheme="minorHAnsi" w:hAnsi="Open Sans" w:cstheme="minorBidi"/>
                                <w:color w:val="auto"/>
                                <w:sz w:val="24"/>
                                <w:szCs w:val="22"/>
                                <w:lang w:eastAsia="en-US"/>
                              </w:rPr>
                              <w:t>nfrastructure designed before the start of the project in a local context, and which is not subject to further development in accordance with the international state of art in the framework of the cooperation process;</w:t>
                            </w:r>
                          </w:p>
                          <w:p w14:paraId="6638C12D" w14:textId="4FE0EEF0" w:rsidR="00D3145B" w:rsidRPr="006A3637" w:rsidRDefault="005D4CC1" w:rsidP="00805C22">
                            <w:pPr>
                              <w:pStyle w:val="BodyText"/>
                              <w:numPr>
                                <w:ilvl w:val="0"/>
                                <w:numId w:val="22"/>
                              </w:numPr>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w:t>
                            </w:r>
                            <w:r w:rsidR="00D3145B" w:rsidRPr="006A3637">
                              <w:rPr>
                                <w:rFonts w:ascii="Open Sans" w:eastAsiaTheme="minorHAnsi" w:hAnsi="Open Sans" w:cstheme="minorBidi"/>
                                <w:color w:val="auto"/>
                                <w:sz w:val="24"/>
                                <w:szCs w:val="22"/>
                                <w:lang w:eastAsia="en-US"/>
                              </w:rPr>
                              <w:t>nnovative technical solutions that are not evaluated after being used in the project and not actively transferred and disseminated to other potential users by and within the project.</w:t>
                            </w:r>
                          </w:p>
                        </w:txbxContent>
                      </wps:txbx>
                      <wps:bodyPr wrap="square" lIns="0" tIns="0" rIns="0" bIns="0" rtlCol="0">
                        <a:noAutofit/>
                      </wps:bodyPr>
                    </wps:wsp>
                  </a:graphicData>
                </a:graphic>
              </wp:inline>
            </w:drawing>
          </mc:Choice>
          <mc:Fallback>
            <w:pict>
              <v:shape w14:anchorId="75EEE969" id="_x0000_s1056" type="#_x0000_t202" style="width:452.9pt;height:19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" filled="f" strokecolor="#039" strokeweight="1pt">
                <v:path arrowok="t"/>
                <v:textbox inset="0,0,0,0">
                  <w:txbxContent>
                    <w:p w14:paraId="061F2DB3" w14:textId="77777777" w:rsidR="005D4CC1" w:rsidRPr="006A3637" w:rsidRDefault="00D3145B" w:rsidP="00805C22">
                      <w:pPr>
                        <w:pStyle w:val="BodyText"/>
                        <w:rPr>
                          <w:rFonts w:ascii="Open Sans" w:eastAsiaTheme="minorHAnsi" w:hAnsi="Open Sans" w:cstheme="minorBidi"/>
                          <w:color w:val="auto"/>
                          <w:sz w:val="24"/>
                          <w:szCs w:val="22"/>
                          <w:lang w:eastAsia="en-US"/>
                        </w:rPr>
                      </w:pPr>
                      <w:r w:rsidRPr="006A3637">
                        <w:rPr>
                          <w:rFonts w:ascii="Open Sans SemiBold" w:eastAsia="Open Sans SemiBold" w:hAnsi="Open Sans SemiBold" w:cs="Open Sans SemiBold"/>
                          <w:bCs/>
                          <w:color w:val="003399"/>
                          <w:sz w:val="24"/>
                          <w:szCs w:val="22"/>
                          <w:lang w:eastAsia="en-US"/>
                        </w:rPr>
                        <w:t>Examples</w:t>
                      </w:r>
                      <w:r w:rsidRPr="006A3637">
                        <w:rPr>
                          <w:rFonts w:ascii="Open Sans" w:eastAsiaTheme="minorHAnsi" w:hAnsi="Open Sans" w:cstheme="minorBidi"/>
                          <w:color w:val="auto"/>
                          <w:sz w:val="24"/>
                          <w:szCs w:val="22"/>
                          <w:lang w:eastAsia="en-US"/>
                        </w:rPr>
                        <w:t xml:space="preserve"> of infrastructure that </w:t>
                      </w:r>
                      <w:r w:rsidRPr="006A3637">
                        <w:rPr>
                          <w:rFonts w:ascii="Open Sans SemiBold" w:eastAsia="Open Sans SemiBold" w:hAnsi="Open Sans SemiBold" w:cs="Open Sans SemiBold"/>
                          <w:bCs/>
                          <w:color w:val="003399"/>
                          <w:sz w:val="24"/>
                          <w:szCs w:val="22"/>
                          <w:lang w:eastAsia="en-US"/>
                        </w:rPr>
                        <w:t>may not be financed</w:t>
                      </w:r>
                      <w:r w:rsidRPr="006A3637">
                        <w:rPr>
                          <w:rFonts w:ascii="Open Sans" w:eastAsiaTheme="minorHAnsi" w:hAnsi="Open Sans" w:cstheme="minorBidi"/>
                          <w:color w:val="auto"/>
                          <w:sz w:val="24"/>
                          <w:szCs w:val="22"/>
                          <w:lang w:eastAsia="en-US"/>
                        </w:rPr>
                        <w:t xml:space="preserve"> within the South Baltic Programme:</w:t>
                      </w:r>
                    </w:p>
                    <w:p w14:paraId="54DB30FA" w14:textId="15CD836B" w:rsidR="005D4CC1" w:rsidRPr="006A3637" w:rsidRDefault="005D4CC1" w:rsidP="00805C22">
                      <w:pPr>
                        <w:pStyle w:val="BodyText"/>
                        <w:numPr>
                          <w:ilvl w:val="0"/>
                          <w:numId w:val="22"/>
                        </w:numPr>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E</w:t>
                      </w:r>
                      <w:r w:rsidR="00D3145B" w:rsidRPr="006A3637">
                        <w:rPr>
                          <w:rFonts w:ascii="Open Sans" w:eastAsiaTheme="minorHAnsi" w:hAnsi="Open Sans" w:cstheme="minorBidi"/>
                          <w:color w:val="auto"/>
                          <w:sz w:val="24"/>
                          <w:szCs w:val="22"/>
                          <w:lang w:eastAsia="en-US"/>
                        </w:rPr>
                        <w:t>lements of local infrastructure that do not have an innovative feature or help to fill a missing cross-border link, such as stand-alone infrastructure;</w:t>
                      </w:r>
                    </w:p>
                    <w:p w14:paraId="1D7CB0C5" w14:textId="50C409A1" w:rsidR="005D4CC1" w:rsidRPr="006A3637" w:rsidRDefault="005D4CC1" w:rsidP="00805C22">
                      <w:pPr>
                        <w:pStyle w:val="BodyText"/>
                        <w:numPr>
                          <w:ilvl w:val="0"/>
                          <w:numId w:val="22"/>
                        </w:numPr>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w:t>
                      </w:r>
                      <w:r w:rsidR="00D3145B" w:rsidRPr="006A3637">
                        <w:rPr>
                          <w:rFonts w:ascii="Open Sans" w:eastAsiaTheme="minorHAnsi" w:hAnsi="Open Sans" w:cstheme="minorBidi"/>
                          <w:color w:val="auto"/>
                          <w:sz w:val="24"/>
                          <w:szCs w:val="22"/>
                          <w:lang w:eastAsia="en-US"/>
                        </w:rPr>
                        <w:t>nfrastructure designed before the start of the project in a local context, and which is not subject to further development in accordance with the international state of art in the framework of the cooperation process;</w:t>
                      </w:r>
                    </w:p>
                    <w:p w14:paraId="6638C12D" w14:textId="4FE0EEF0" w:rsidR="00D3145B" w:rsidRPr="006A3637" w:rsidRDefault="005D4CC1" w:rsidP="00805C22">
                      <w:pPr>
                        <w:pStyle w:val="BodyText"/>
                        <w:numPr>
                          <w:ilvl w:val="0"/>
                          <w:numId w:val="22"/>
                        </w:numPr>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w:t>
                      </w:r>
                      <w:r w:rsidR="00D3145B" w:rsidRPr="006A3637">
                        <w:rPr>
                          <w:rFonts w:ascii="Open Sans" w:eastAsiaTheme="minorHAnsi" w:hAnsi="Open Sans" w:cstheme="minorBidi"/>
                          <w:color w:val="auto"/>
                          <w:sz w:val="24"/>
                          <w:szCs w:val="22"/>
                          <w:lang w:eastAsia="en-US"/>
                        </w:rPr>
                        <w:t>nnovative technical solutions that are not evaluated after being used in the project and not actively transferred and disseminated to other potential users by and within the project.</w:t>
                      </w:r>
                    </w:p>
                  </w:txbxContent>
                </v:textbox>
                <w10:anchorlock/>
              </v:shape>
            </w:pict>
          </mc:Fallback>
        </mc:AlternateContent>
      </w:r>
    </w:p>
    <w:p w14:paraId="0429D8CA" w14:textId="388689D2" w:rsidR="00424BEF" w:rsidRPr="00D3145B" w:rsidRDefault="00424BEF" w:rsidP="003C58C0">
      <w:pPr>
        <w:spacing w:line="360" w:lineRule="auto"/>
      </w:pPr>
      <w:r w:rsidRPr="00D3145B">
        <w:t xml:space="preserve">Projects </w:t>
      </w:r>
      <w:r w:rsidR="00D96EF3" w:rsidRPr="00D3145B">
        <w:t>should</w:t>
      </w:r>
      <w:r w:rsidRPr="00D3145B">
        <w:t xml:space="preserve"> justify the added value of the financed infrastructure as part of a cross-border project within the South Baltic Programme, in particular</w:t>
      </w:r>
      <w:r w:rsidR="00E46242" w:rsidRPr="00D3145B">
        <w:t>,</w:t>
      </w:r>
      <w:r w:rsidRPr="00D3145B">
        <w:t xml:space="preserve"> where it has the potential of being financed from other EU or domestic, regional or national funds.</w:t>
      </w:r>
    </w:p>
    <w:p w14:paraId="546E7FD8" w14:textId="2325354F" w:rsidR="00424BEF" w:rsidRPr="00D3145B" w:rsidRDefault="00424BEF" w:rsidP="003C58C0">
      <w:pPr>
        <w:spacing w:line="360" w:lineRule="auto"/>
      </w:pPr>
      <w:r w:rsidRPr="00D3145B">
        <w:t xml:space="preserve">The South Baltic Programme does not set any limits </w:t>
      </w:r>
      <w:r w:rsidR="00301F9F" w:rsidRPr="00D3145B">
        <w:t>as to</w:t>
      </w:r>
      <w:r w:rsidRPr="00D3145B">
        <w:t xml:space="preserve"> the size of infrastructure expenditure (in percentages or nominal values) in a project. Each investment proposal will be assessed on a case-by-case basis against </w:t>
      </w:r>
      <w:r w:rsidR="00301F9F" w:rsidRPr="00D3145B">
        <w:t xml:space="preserve">the </w:t>
      </w:r>
      <w:r w:rsidRPr="00D3145B">
        <w:t>value</w:t>
      </w:r>
      <w:r w:rsidR="00E46242" w:rsidRPr="00D3145B">
        <w:t>-</w:t>
      </w:r>
      <w:r w:rsidRPr="00D3145B">
        <w:t>for</w:t>
      </w:r>
      <w:r w:rsidR="00E46242" w:rsidRPr="00D3145B">
        <w:t>-</w:t>
      </w:r>
      <w:r w:rsidRPr="00D3145B">
        <w:t xml:space="preserve">money criteria, </w:t>
      </w:r>
      <w:r w:rsidR="00271E31" w:rsidRPr="00D3145B">
        <w:t>i.e.</w:t>
      </w:r>
      <w:r w:rsidR="000F2757" w:rsidRPr="00D3145B">
        <w:t>,</w:t>
      </w:r>
      <w:r w:rsidRPr="00D3145B">
        <w:t xml:space="preserve"> the costs versus the level of innovativeness, the cross-border character </w:t>
      </w:r>
      <w:r w:rsidR="00E46242" w:rsidRPr="00D3145B">
        <w:t>and</w:t>
      </w:r>
      <w:r w:rsidRPr="00D3145B">
        <w:t xml:space="preserve"> the integration and complementarity with other project activities.</w:t>
      </w:r>
    </w:p>
    <w:p w14:paraId="5A652A92" w14:textId="11C6A7B0" w:rsidR="0022383A" w:rsidRDefault="00E46242" w:rsidP="003C58C0">
      <w:pPr>
        <w:spacing w:line="360" w:lineRule="auto"/>
      </w:pPr>
      <w:r w:rsidRPr="00D3145B">
        <w:t>For</w:t>
      </w:r>
      <w:r w:rsidR="00424BEF" w:rsidRPr="00D3145B">
        <w:t xml:space="preserve"> project plan investments where additional documents, such as feasibility studies, environmental impact assessments and building permits, are required by national law, it is advised to start </w:t>
      </w:r>
      <w:r w:rsidRPr="00D3145B">
        <w:t xml:space="preserve">the </w:t>
      </w:r>
      <w:r w:rsidR="00424BEF" w:rsidRPr="00D3145B">
        <w:t xml:space="preserve">timely preparation of these documents to </w:t>
      </w:r>
      <w:r w:rsidRPr="00D3145B">
        <w:t xml:space="preserve">facilitate </w:t>
      </w:r>
      <w:r w:rsidR="00424BEF" w:rsidRPr="00D3145B">
        <w:t xml:space="preserve">the project </w:t>
      </w:r>
      <w:r w:rsidR="00301F9F" w:rsidRPr="00D3145B">
        <w:t xml:space="preserve">implementation </w:t>
      </w:r>
      <w:r w:rsidR="00424BEF" w:rsidRPr="00D3145B">
        <w:t>according to the planned schedule. These documents will not be required to be submitted together with the project application. However, an applicant may be asked by the JS to provide them as a condition for approval if the successful implementation of the project highly depends on the successful implementation of these investments.</w:t>
      </w:r>
    </w:p>
    <w:p w14:paraId="69CBEC0B" w14:textId="234B3E81" w:rsidR="00FB5641" w:rsidRPr="00FB5641" w:rsidRDefault="006A3637" w:rsidP="003C58C0">
      <w:pPr>
        <w:spacing w:line="360" w:lineRule="auto"/>
      </w:pPr>
      <w:r>
        <w:rPr>
          <w:noProof/>
        </w:rPr>
        <w:lastRenderedPageBreak/>
        <mc:AlternateContent>
          <mc:Choice Requires="wps">
            <w:drawing>
              <wp:inline distT="0" distB="0" distL="0" distR="0" wp14:anchorId="18A9AF63" wp14:editId="30E36A2B">
                <wp:extent cx="5751830" cy="1152525"/>
                <wp:effectExtent l="0" t="0" r="20320" b="28575"/>
                <wp:docPr id="92445342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1152525"/>
                        </a:xfrm>
                        <a:prstGeom prst="rect">
                          <a:avLst/>
                        </a:prstGeom>
                        <a:ln w="12700">
                          <a:solidFill>
                            <a:srgbClr val="003399"/>
                          </a:solidFill>
                          <a:prstDash val="solid"/>
                        </a:ln>
                      </wps:spPr>
                      <wps:txbx>
                        <w:txbxContent>
                          <w:p w14:paraId="3ADECBE5" w14:textId="77777777" w:rsidR="006A3637" w:rsidRPr="006A3637" w:rsidRDefault="006A3637" w:rsidP="006A3637">
                            <w:pPr>
                              <w:pStyle w:val="BodyText"/>
                              <w:rPr>
                                <w:rFonts w:ascii="Open Sans SemiBold" w:eastAsia="Open Sans SemiBold" w:hAnsi="Open Sans SemiBold" w:cs="Open Sans SemiBold"/>
                                <w:bCs/>
                                <w:color w:val="003399"/>
                                <w:sz w:val="24"/>
                                <w:szCs w:val="22"/>
                                <w:lang w:eastAsia="en-US"/>
                              </w:rPr>
                            </w:pPr>
                            <w:r w:rsidRPr="006A3637">
                              <w:rPr>
                                <w:rFonts w:ascii="Open Sans SemiBold" w:eastAsia="Open Sans SemiBold" w:hAnsi="Open Sans SemiBold" w:cs="Open Sans SemiBold"/>
                                <w:bCs/>
                                <w:color w:val="003399"/>
                                <w:sz w:val="24"/>
                                <w:szCs w:val="22"/>
                                <w:lang w:eastAsia="en-US"/>
                              </w:rPr>
                              <w:t xml:space="preserve">Note: </w:t>
                            </w:r>
                          </w:p>
                          <w:p w14:paraId="1040DC2C"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If it is possible to assign one invoice/one contract to two or more cost categories (e.g., one price for Equipment, Infrastructure and works), the larger share of the invoice/contract will determine to which cost category it should be assigned.</w:t>
                            </w:r>
                          </w:p>
                        </w:txbxContent>
                      </wps:txbx>
                      <wps:bodyPr wrap="square" lIns="0" tIns="0" rIns="0" bIns="0" rtlCol="0">
                        <a:noAutofit/>
                      </wps:bodyPr>
                    </wps:wsp>
                  </a:graphicData>
                </a:graphic>
              </wp:inline>
            </w:drawing>
          </mc:Choice>
          <mc:Fallback>
            <w:pict>
              <v:shape w14:anchorId="18A9AF63" id="_x0000_s1057" type="#_x0000_t202" style="width:452.9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" filled="f" strokecolor="#039" strokeweight="1pt">
                <v:path arrowok="t"/>
                <v:textbox inset="0,0,0,0">
                  <w:txbxContent>
                    <w:p w14:paraId="3ADECBE5" w14:textId="77777777" w:rsidR="006A3637" w:rsidRPr="006A3637" w:rsidRDefault="006A3637" w:rsidP="006A3637">
                      <w:pPr>
                        <w:pStyle w:val="BodyText"/>
                        <w:rPr>
                          <w:rFonts w:ascii="Open Sans SemiBold" w:eastAsia="Open Sans SemiBold" w:hAnsi="Open Sans SemiBold" w:cs="Open Sans SemiBold"/>
                          <w:bCs/>
                          <w:color w:val="003399"/>
                          <w:sz w:val="24"/>
                          <w:szCs w:val="22"/>
                          <w:lang w:eastAsia="en-US"/>
                        </w:rPr>
                      </w:pPr>
                      <w:r w:rsidRPr="006A3637">
                        <w:rPr>
                          <w:rFonts w:ascii="Open Sans SemiBold" w:eastAsia="Open Sans SemiBold" w:hAnsi="Open Sans SemiBold" w:cs="Open Sans SemiBold"/>
                          <w:bCs/>
                          <w:color w:val="003399"/>
                          <w:sz w:val="24"/>
                          <w:szCs w:val="22"/>
                          <w:lang w:eastAsia="en-US"/>
                        </w:rPr>
                        <w:t xml:space="preserve">Note: </w:t>
                      </w:r>
                    </w:p>
                    <w:p w14:paraId="1040DC2C"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If it is possible to assign one invoice/one contract to two or more cost categories (e.g., one price for Equipment, Infrastructure and works), the larger share of the invoice/contract will determine to which cost category it should be assigned.</w:t>
                      </w:r>
                    </w:p>
                  </w:txbxContent>
                </v:textbox>
                <w10:anchorlock/>
              </v:shape>
            </w:pict>
          </mc:Fallback>
        </mc:AlternateContent>
      </w:r>
    </w:p>
    <w:p w14:paraId="2CFF2177" w14:textId="1140EA64" w:rsidR="00B90E0B" w:rsidRPr="00B23A7B" w:rsidRDefault="00A46DE3" w:rsidP="003C58C0">
      <w:pPr>
        <w:pStyle w:val="Heading3"/>
        <w:spacing w:line="360" w:lineRule="auto"/>
      </w:pPr>
      <w:bookmarkStart w:id="91" w:name="_Toc147242414"/>
      <w:r w:rsidRPr="00C223C5">
        <w:t>3.8 Closure costs</w:t>
      </w:r>
      <w:bookmarkEnd w:id="91"/>
      <w:r w:rsidR="000B0225" w:rsidRPr="00FB5641">
        <w:rPr>
          <w:rFonts w:eastAsia="Open Sans"/>
          <w:sz w:val="20"/>
          <w:szCs w:val="20"/>
        </w:rPr>
        <w:t xml:space="preserve"> </w:t>
      </w:r>
    </w:p>
    <w:p w14:paraId="7E3083A5" w14:textId="0C4E8810" w:rsidR="0008581E" w:rsidRPr="00B23A7B" w:rsidRDefault="0008581E" w:rsidP="003C58C0">
      <w:pPr>
        <w:spacing w:line="360" w:lineRule="auto"/>
      </w:pPr>
      <w:r w:rsidRPr="00B23A7B">
        <w:t>Closure costs of the project are declared only by a lump sum in the amount of EUR 13 400.</w:t>
      </w:r>
      <w:r w:rsidR="00B30E79">
        <w:rPr>
          <w:rStyle w:val="FootnoteReference"/>
          <w:rFonts w:eastAsia="Open Sans" w:cs="Open Sans"/>
          <w:sz w:val="20"/>
          <w:szCs w:val="20"/>
        </w:rPr>
        <w:footnoteReference w:id="32"/>
      </w:r>
    </w:p>
    <w:p w14:paraId="26375CFC" w14:textId="72A504A9" w:rsidR="0008581E" w:rsidRPr="00B23A7B" w:rsidRDefault="00B23A7B" w:rsidP="003C58C0">
      <w:pPr>
        <w:spacing w:line="360" w:lineRule="auto"/>
      </w:pPr>
      <w:r>
        <w:t>The l</w:t>
      </w:r>
      <w:r w:rsidR="0008581E" w:rsidRPr="00B23A7B">
        <w:t>um</w:t>
      </w:r>
      <w:r>
        <w:t>p</w:t>
      </w:r>
      <w:r w:rsidR="0008581E" w:rsidRPr="00B23A7B">
        <w:t xml:space="preserve"> sum covers all costs related to the project closure - flat rate for staff, flat rate for office and administration and flat rate for travel and accommodation are not calculated from its amount.</w:t>
      </w:r>
    </w:p>
    <w:p w14:paraId="34F6F5C1" w14:textId="77777777" w:rsidR="0008581E" w:rsidRPr="0092059D" w:rsidRDefault="0008581E" w:rsidP="003C58C0">
      <w:pPr>
        <w:spacing w:line="360" w:lineRule="auto"/>
        <w:rPr>
          <w:lang w:val="en-GB"/>
        </w:rPr>
      </w:pPr>
      <w:r w:rsidRPr="0092059D">
        <w:rPr>
          <w:lang w:val="en-GB"/>
        </w:rPr>
        <w:t>The catalogue of closing costs covered by a lump sum remains closed and includes:</w:t>
      </w:r>
    </w:p>
    <w:p w14:paraId="013ECE86" w14:textId="77777777" w:rsidR="0008581E" w:rsidRDefault="0008581E" w:rsidP="003C58C0">
      <w:pPr>
        <w:pStyle w:val="ListParagraph"/>
        <w:numPr>
          <w:ilvl w:val="0"/>
          <w:numId w:val="90"/>
        </w:numPr>
        <w:spacing w:line="360" w:lineRule="auto"/>
        <w:rPr>
          <w:lang w:val="en-GB"/>
        </w:rPr>
      </w:pPr>
      <w:r w:rsidRPr="0092059D">
        <w:rPr>
          <w:lang w:val="en-GB"/>
        </w:rPr>
        <w:t>Staff costs – costs related to the works of project staff exclusively related to the closure phase</w:t>
      </w:r>
      <w:r>
        <w:rPr>
          <w:lang w:val="en-GB"/>
        </w:rPr>
        <w:t>.</w:t>
      </w:r>
      <w:r w:rsidRPr="0092059D">
        <w:rPr>
          <w:lang w:val="en-GB"/>
        </w:rPr>
        <w:t xml:space="preserve"> </w:t>
      </w:r>
    </w:p>
    <w:p w14:paraId="6185A340" w14:textId="77777777" w:rsidR="0008581E" w:rsidRDefault="0008581E" w:rsidP="003C58C0">
      <w:pPr>
        <w:pStyle w:val="ListParagraph"/>
        <w:numPr>
          <w:ilvl w:val="0"/>
          <w:numId w:val="90"/>
        </w:numPr>
        <w:spacing w:line="360" w:lineRule="auto"/>
        <w:rPr>
          <w:lang w:val="en-GB"/>
        </w:rPr>
      </w:pPr>
      <w:r w:rsidRPr="0092059D">
        <w:rPr>
          <w:lang w:val="en-GB"/>
        </w:rPr>
        <w:t>External expertise and services – costs of the external First Level Control to the final progress report preparation and verification, costs of preparing the final progress report outsourced to an external company</w:t>
      </w:r>
      <w:r>
        <w:rPr>
          <w:lang w:val="en-GB"/>
        </w:rPr>
        <w:t>.</w:t>
      </w:r>
    </w:p>
    <w:p w14:paraId="5ED4AD69" w14:textId="77777777" w:rsidR="0008581E" w:rsidRDefault="0008581E" w:rsidP="003C58C0">
      <w:pPr>
        <w:pStyle w:val="ListParagraph"/>
        <w:numPr>
          <w:ilvl w:val="0"/>
          <w:numId w:val="90"/>
        </w:numPr>
        <w:spacing w:line="360" w:lineRule="auto"/>
        <w:rPr>
          <w:lang w:val="en-GB"/>
        </w:rPr>
      </w:pPr>
      <w:r w:rsidRPr="0092059D">
        <w:rPr>
          <w:lang w:val="en-GB"/>
        </w:rPr>
        <w:t>Office and administration costs – related to the closure phase</w:t>
      </w:r>
      <w:r>
        <w:rPr>
          <w:lang w:val="en-GB"/>
        </w:rPr>
        <w:t>.</w:t>
      </w:r>
    </w:p>
    <w:p w14:paraId="200D6E50" w14:textId="77777777" w:rsidR="0008581E" w:rsidRDefault="0008581E" w:rsidP="003C58C0">
      <w:pPr>
        <w:spacing w:line="360" w:lineRule="auto"/>
      </w:pPr>
      <w:r w:rsidRPr="0092059D">
        <w:t>Payment of the lump sum is due if the product indicator is achieved and proved by the submission of the final progress report</w:t>
      </w:r>
      <w:r>
        <w:t>.</w:t>
      </w:r>
    </w:p>
    <w:p w14:paraId="3E4DAC62" w14:textId="7531D402" w:rsidR="0008581E" w:rsidRDefault="0008581E" w:rsidP="003C58C0">
      <w:pPr>
        <w:spacing w:line="360" w:lineRule="auto"/>
      </w:pPr>
      <w:r w:rsidRPr="0092059D">
        <w:t>The amount of the lump sum is paid out to the lead partner. The granted amount of the lump sum may be distributed by the lead partner between the project partners based on an internal agreement between the project partners.</w:t>
      </w:r>
      <w:r>
        <w:t xml:space="preserve"> </w:t>
      </w:r>
      <w:r w:rsidRPr="0092059D">
        <w:t xml:space="preserve">Due to </w:t>
      </w:r>
      <w:r w:rsidRPr="0092059D">
        <w:lastRenderedPageBreak/>
        <w:t xml:space="preserve">the </w:t>
      </w:r>
      <w:r w:rsidR="00D40166" w:rsidRPr="0092059D">
        <w:t>use of the</w:t>
      </w:r>
      <w:r w:rsidRPr="0092059D">
        <w:t xml:space="preserve"> lump sum, there is no possibility </w:t>
      </w:r>
      <w:r w:rsidR="00B23A7B" w:rsidRPr="0092059D">
        <w:t>of declaring</w:t>
      </w:r>
      <w:r w:rsidRPr="0092059D">
        <w:t xml:space="preserve"> any expenses related to closure costs as real costs.</w:t>
      </w:r>
    </w:p>
    <w:p w14:paraId="38592B5A" w14:textId="0C83BB60" w:rsidR="00387D80" w:rsidRDefault="0008581E" w:rsidP="003C58C0">
      <w:pPr>
        <w:spacing w:line="360" w:lineRule="auto"/>
      </w:pPr>
      <w:r w:rsidRPr="007B3CF7">
        <w:t>Activities related to the project implementation phase are not allowed to be implemented in the project closure phase. As a rule, payment for expenses related to the project implementation phase should be paid before the end of the project implementation phase</w:t>
      </w:r>
      <w:r>
        <w:t>.</w:t>
      </w:r>
    </w:p>
    <w:p w14:paraId="4624315A" w14:textId="3E3F48C3" w:rsidR="00B23A7B" w:rsidRDefault="006A3637" w:rsidP="003C58C0">
      <w:pPr>
        <w:spacing w:line="360" w:lineRule="auto"/>
      </w:pPr>
      <w:r>
        <w:rPr>
          <w:noProof/>
        </w:rPr>
        <mc:AlternateContent>
          <mc:Choice Requires="wps">
            <w:drawing>
              <wp:inline distT="0" distB="0" distL="0" distR="0" wp14:anchorId="1CD73044" wp14:editId="066368DD">
                <wp:extent cx="5772150" cy="1933575"/>
                <wp:effectExtent l="0" t="0" r="19050" b="28575"/>
                <wp:docPr id="45489346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933575"/>
                        </a:xfrm>
                        <a:prstGeom prst="rect">
                          <a:avLst/>
                        </a:prstGeom>
                        <a:ln w="12700">
                          <a:solidFill>
                            <a:srgbClr val="003399"/>
                          </a:solidFill>
                          <a:prstDash val="solid"/>
                        </a:ln>
                      </wps:spPr>
                      <wps:txbx>
                        <w:txbxContent>
                          <w:p w14:paraId="6D36486C" w14:textId="77777777" w:rsidR="006A3637" w:rsidRPr="006A3637" w:rsidRDefault="006A3637" w:rsidP="006A3637">
                            <w:pPr>
                              <w:pStyle w:val="BodyText"/>
                              <w:rPr>
                                <w:rFonts w:ascii="Open Sans SemiBold" w:eastAsia="Open Sans SemiBold" w:hAnsi="Open Sans SemiBold" w:cs="Open Sans SemiBold"/>
                                <w:bCs/>
                                <w:color w:val="003399"/>
                                <w:sz w:val="24"/>
                                <w:szCs w:val="22"/>
                                <w:lang w:eastAsia="en-US"/>
                              </w:rPr>
                            </w:pPr>
                            <w:r w:rsidRPr="006A3637">
                              <w:rPr>
                                <w:rFonts w:ascii="Open Sans SemiBold" w:eastAsia="Open Sans SemiBold" w:hAnsi="Open Sans SemiBold" w:cs="Open Sans SemiBold"/>
                                <w:bCs/>
                                <w:color w:val="003399"/>
                                <w:sz w:val="24"/>
                                <w:szCs w:val="22"/>
                                <w:lang w:eastAsia="en-US"/>
                              </w:rPr>
                              <w:t xml:space="preserve">NB: </w:t>
                            </w:r>
                          </w:p>
                          <w:p w14:paraId="5685392A"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In justified cases, costs related to activities carried out in the implementation phase paid after the project’s end date are eligible if the accounting documents were issued during the project implementation period and are not considered as closure costs. In this situation, the beneficiary is obliged to clearly describe such expenditures. In the description of the accounting document the project partner should clearly add annotation: the expenditure concerns the implementation phase.</w:t>
                            </w:r>
                          </w:p>
                          <w:p w14:paraId="4FEEE9AE" w14:textId="77777777" w:rsidR="006A3637" w:rsidRDefault="006A3637" w:rsidP="006A3637">
                            <w:pPr>
                              <w:pStyle w:val="BodyText"/>
                              <w:rPr>
                                <w:rFonts w:eastAsia="Open Sans"/>
                              </w:rPr>
                            </w:pPr>
                          </w:p>
                          <w:p w14:paraId="1B87A7DB" w14:textId="77777777" w:rsidR="006A3637" w:rsidRPr="007A7BD1" w:rsidRDefault="006A3637" w:rsidP="006A3637">
                            <w:pPr>
                              <w:pStyle w:val="BodyText"/>
                              <w:rPr>
                                <w:rFonts w:eastAsia="Open Sans"/>
                              </w:rPr>
                            </w:pPr>
                          </w:p>
                        </w:txbxContent>
                      </wps:txbx>
                      <wps:bodyPr wrap="square" lIns="0" tIns="0" rIns="0" bIns="0" rtlCol="0">
                        <a:noAutofit/>
                      </wps:bodyPr>
                    </wps:wsp>
                  </a:graphicData>
                </a:graphic>
              </wp:inline>
            </w:drawing>
          </mc:Choice>
          <mc:Fallback>
            <w:pict>
              <v:shape w14:anchorId="1CD73044" id="_x0000_s1058" type="#_x0000_t202" style="width:454.5pt;height:15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" filled="f" strokecolor="#039" strokeweight="1pt">
                <v:path arrowok="t"/>
                <v:textbox inset="0,0,0,0">
                  <w:txbxContent>
                    <w:p w14:paraId="6D36486C" w14:textId="77777777" w:rsidR="006A3637" w:rsidRPr="006A3637" w:rsidRDefault="006A3637" w:rsidP="006A3637">
                      <w:pPr>
                        <w:pStyle w:val="BodyText"/>
                        <w:rPr>
                          <w:rFonts w:ascii="Open Sans SemiBold" w:eastAsia="Open Sans SemiBold" w:hAnsi="Open Sans SemiBold" w:cs="Open Sans SemiBold"/>
                          <w:bCs/>
                          <w:color w:val="003399"/>
                          <w:sz w:val="24"/>
                          <w:szCs w:val="22"/>
                          <w:lang w:eastAsia="en-US"/>
                        </w:rPr>
                      </w:pPr>
                      <w:r w:rsidRPr="006A3637">
                        <w:rPr>
                          <w:rFonts w:ascii="Open Sans SemiBold" w:eastAsia="Open Sans SemiBold" w:hAnsi="Open Sans SemiBold" w:cs="Open Sans SemiBold"/>
                          <w:bCs/>
                          <w:color w:val="003399"/>
                          <w:sz w:val="24"/>
                          <w:szCs w:val="22"/>
                          <w:lang w:eastAsia="en-US"/>
                        </w:rPr>
                        <w:t xml:space="preserve">NB: </w:t>
                      </w:r>
                    </w:p>
                    <w:p w14:paraId="5685392A"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In justified cases, costs related to activities carried out in the implementation phase paid after the project’s end date are eligible if the accounting documents were issued during the project implementation period and are not considered as closure costs. In this situation, the beneficiary is obliged to clearly describe such expenditures. In the description of the accounting document the project partner should clearly add annotation: the expenditure concerns the implementation phase.</w:t>
                      </w:r>
                    </w:p>
                    <w:p w14:paraId="4FEEE9AE" w14:textId="77777777" w:rsidR="006A3637" w:rsidRDefault="006A3637" w:rsidP="006A3637">
                      <w:pPr>
                        <w:pStyle w:val="BodyText"/>
                        <w:rPr>
                          <w:rFonts w:eastAsia="Open Sans"/>
                        </w:rPr>
                      </w:pPr>
                    </w:p>
                    <w:p w14:paraId="1B87A7DB" w14:textId="77777777" w:rsidR="006A3637" w:rsidRPr="007A7BD1" w:rsidRDefault="006A3637" w:rsidP="006A3637">
                      <w:pPr>
                        <w:pStyle w:val="BodyText"/>
                        <w:rPr>
                          <w:rFonts w:eastAsia="Open Sans"/>
                        </w:rPr>
                      </w:pPr>
                    </w:p>
                  </w:txbxContent>
                </v:textbox>
                <w10:anchorlock/>
              </v:shape>
            </w:pict>
          </mc:Fallback>
        </mc:AlternateContent>
      </w:r>
    </w:p>
    <w:p w14:paraId="34B1FBD0" w14:textId="41DC704D" w:rsidR="00387D80" w:rsidRPr="006A022A" w:rsidRDefault="00387D80" w:rsidP="003C58C0">
      <w:pPr>
        <w:pStyle w:val="Heading2"/>
        <w:spacing w:line="360" w:lineRule="auto"/>
      </w:pPr>
      <w:bookmarkStart w:id="92" w:name="_Toc147242415"/>
      <w:r>
        <w:t>4</w:t>
      </w:r>
      <w:r w:rsidRPr="006A022A">
        <w:t xml:space="preserve"> </w:t>
      </w:r>
      <w:r>
        <w:t>REIMBURSEMENT OF SMALL-SCALE PROJECTS</w:t>
      </w:r>
      <w:bookmarkEnd w:id="92"/>
    </w:p>
    <w:p w14:paraId="38667FB8" w14:textId="47F2C698" w:rsidR="00C619F8" w:rsidRPr="006A022A" w:rsidRDefault="00C619F8" w:rsidP="003C58C0">
      <w:pPr>
        <w:spacing w:line="360" w:lineRule="auto"/>
      </w:pPr>
      <w:r w:rsidRPr="006A022A">
        <w:t>Small-scale projects to be implemented under the simplified cost options scheme only.</w:t>
      </w:r>
    </w:p>
    <w:p w14:paraId="5893F324" w14:textId="2BCA1B9C" w:rsidR="000A1BA3" w:rsidRPr="006A3637" w:rsidRDefault="000A1BA3" w:rsidP="003C58C0">
      <w:pPr>
        <w:spacing w:line="360" w:lineRule="auto"/>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 xml:space="preserve">Staff costs </w:t>
      </w:r>
    </w:p>
    <w:p w14:paraId="664A9FCE" w14:textId="6E621B79" w:rsidR="000F19DE" w:rsidRPr="006A022A" w:rsidRDefault="000F19DE" w:rsidP="003C58C0">
      <w:pPr>
        <w:spacing w:line="360" w:lineRule="auto"/>
      </w:pPr>
      <w:r w:rsidRPr="006A022A">
        <w:t>For staff costs</w:t>
      </w:r>
      <w:r w:rsidR="009A6E77" w:rsidRPr="006A022A">
        <w:t>,</w:t>
      </w:r>
      <w:r w:rsidRPr="006A022A">
        <w:t xml:space="preserve"> project partners can apply only real costs in small-scale projects. More information regarding real costs can be found in Chapter IV, Section </w:t>
      </w:r>
      <w:r w:rsidR="006715FC" w:rsidRPr="006A022A">
        <w:t>3 Cost Categories</w:t>
      </w:r>
      <w:r w:rsidR="00413E54">
        <w:t xml:space="preserve">, </w:t>
      </w:r>
      <w:r w:rsidR="006715FC" w:rsidRPr="006A022A">
        <w:t xml:space="preserve">sub-section </w:t>
      </w:r>
      <w:r w:rsidRPr="006A022A">
        <w:t>3.2 Staff costs</w:t>
      </w:r>
      <w:r w:rsidR="00413E54">
        <w:t>.</w:t>
      </w:r>
    </w:p>
    <w:p w14:paraId="1460090E" w14:textId="77777777" w:rsidR="000A1BA3" w:rsidRPr="006A3637" w:rsidRDefault="000A1BA3" w:rsidP="003C58C0">
      <w:pPr>
        <w:spacing w:line="360" w:lineRule="auto"/>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Any other costs</w:t>
      </w:r>
    </w:p>
    <w:p w14:paraId="2E8452FC" w14:textId="47661EA6" w:rsidR="006904D6" w:rsidRPr="006A022A" w:rsidRDefault="006904D6" w:rsidP="003C58C0">
      <w:pPr>
        <w:spacing w:line="360" w:lineRule="auto"/>
      </w:pPr>
      <w:r w:rsidRPr="006A022A">
        <w:t xml:space="preserve">For the remaining costs of </w:t>
      </w:r>
      <w:r w:rsidR="009A6E77" w:rsidRPr="006A022A">
        <w:t xml:space="preserve">the </w:t>
      </w:r>
      <w:r w:rsidRPr="006A022A">
        <w:t xml:space="preserve">project implementation, the Programme uses a flat rate of 40% of eligible staff costs. Therefore, the amount of the remaining costs calculated as a flat rate depends on </w:t>
      </w:r>
      <w:r w:rsidR="0031253C" w:rsidRPr="006A022A">
        <w:t>the amount</w:t>
      </w:r>
      <w:r w:rsidRPr="006A022A">
        <w:t xml:space="preserve"> of </w:t>
      </w:r>
      <w:r w:rsidR="0089024B" w:rsidRPr="006A022A">
        <w:t>eligible</w:t>
      </w:r>
      <w:r w:rsidRPr="006A022A">
        <w:t xml:space="preserve"> staff costs </w:t>
      </w:r>
      <w:r w:rsidRPr="006A022A">
        <w:lastRenderedPageBreak/>
        <w:t>approved in each progress report and any deductions made within the project (e.g., due to financial corrections).</w:t>
      </w:r>
    </w:p>
    <w:p w14:paraId="3283AFAC" w14:textId="69DC4183" w:rsidR="004136D9" w:rsidRPr="004F78BE" w:rsidRDefault="00A65839" w:rsidP="003C58C0">
      <w:pPr>
        <w:spacing w:line="360" w:lineRule="auto"/>
      </w:pPr>
      <w:r w:rsidRPr="006A3637">
        <w:rPr>
          <w:rFonts w:ascii="Open Sans SemiBold" w:eastAsia="Open Sans SemiBold" w:hAnsi="Open Sans SemiBold" w:cs="Open Sans SemiBold"/>
          <w:bCs/>
          <w:color w:val="003399"/>
        </w:rPr>
        <w:t>Voluntary work is eligible and is covered by the 40% for any other costs.</w:t>
      </w:r>
    </w:p>
    <w:p w14:paraId="16B4CCF0" w14:textId="5888772A" w:rsidR="0072780D" w:rsidRPr="006A022A" w:rsidRDefault="003774DC" w:rsidP="003C58C0">
      <w:pPr>
        <w:pStyle w:val="Heading2"/>
        <w:spacing w:line="360" w:lineRule="auto"/>
      </w:pPr>
      <w:bookmarkStart w:id="93" w:name="_Toc147242416"/>
      <w:r w:rsidRPr="006A022A">
        <w:t>5</w:t>
      </w:r>
      <w:r w:rsidR="0072780D" w:rsidRPr="006A022A">
        <w:t xml:space="preserve"> VAT</w:t>
      </w:r>
      <w:bookmarkEnd w:id="93"/>
    </w:p>
    <w:p w14:paraId="2F5025E0" w14:textId="5F106ED6" w:rsidR="0022383A" w:rsidRPr="006A022A" w:rsidRDefault="0022383A" w:rsidP="003C58C0">
      <w:pPr>
        <w:spacing w:line="360" w:lineRule="auto"/>
      </w:pPr>
      <w:r w:rsidRPr="006A022A">
        <w:t>Value Added Tax (the VAT) is eligible for projects implemented in the Programme.</w:t>
      </w:r>
      <w:r w:rsidR="009E20C1">
        <w:rPr>
          <w:rStyle w:val="FootnoteReference"/>
          <w:rFonts w:eastAsia="Open Sans" w:cs="Open Sans"/>
          <w:sz w:val="20"/>
          <w:szCs w:val="20"/>
        </w:rPr>
        <w:footnoteReference w:id="33"/>
      </w:r>
      <w:r w:rsidRPr="006A022A">
        <w:t xml:space="preserve"> </w:t>
      </w:r>
    </w:p>
    <w:p w14:paraId="24FB2050" w14:textId="7BD48503" w:rsidR="00E8494A" w:rsidRPr="006A022A" w:rsidRDefault="00E8494A" w:rsidP="003C58C0">
      <w:pPr>
        <w:spacing w:line="360" w:lineRule="auto"/>
      </w:pPr>
      <w:bookmarkStart w:id="94" w:name="_Hlk120021674"/>
      <w:r w:rsidRPr="006A022A">
        <w:t xml:space="preserve">The eligibility of </w:t>
      </w:r>
      <w:r w:rsidR="00584263" w:rsidRPr="006A022A">
        <w:t xml:space="preserve">the </w:t>
      </w:r>
      <w:r w:rsidRPr="006A022A">
        <w:t xml:space="preserve">VAT in projects involving </w:t>
      </w:r>
      <w:r w:rsidR="00BF5C93" w:rsidRPr="006A022A">
        <w:t>S</w:t>
      </w:r>
      <w:r w:rsidRPr="006A022A">
        <w:t xml:space="preserve">tate </w:t>
      </w:r>
      <w:r w:rsidR="00BF5C93" w:rsidRPr="006A022A">
        <w:t>a</w:t>
      </w:r>
      <w:r w:rsidRPr="006A022A">
        <w:t xml:space="preserve">id is defined by the provisions of the GBER and depends on the possibility of its recovery according to national regulations (see Chapter IV, Section 9 State </w:t>
      </w:r>
      <w:r w:rsidR="00BF5C93" w:rsidRPr="006A022A">
        <w:t>a</w:t>
      </w:r>
      <w:r w:rsidRPr="006A022A">
        <w:t xml:space="preserve">id). </w:t>
      </w:r>
    </w:p>
    <w:p w14:paraId="1880971F" w14:textId="6F0D6046" w:rsidR="00B23A7B" w:rsidRPr="006A3637" w:rsidRDefault="00E8494A" w:rsidP="003C58C0">
      <w:pPr>
        <w:spacing w:line="360" w:lineRule="auto"/>
        <w:rPr>
          <w:rFonts w:eastAsia="Open Sans" w:cs="Open Sans"/>
          <w:szCs w:val="24"/>
        </w:rPr>
      </w:pPr>
      <w:r w:rsidRPr="006A3637">
        <w:rPr>
          <w:rFonts w:eastAsia="Open Sans" w:cs="Open Sans"/>
          <w:szCs w:val="24"/>
        </w:rPr>
        <w:t xml:space="preserve">More information can be found in the State </w:t>
      </w:r>
      <w:r w:rsidR="00BF5C93" w:rsidRPr="006A3637">
        <w:rPr>
          <w:rFonts w:eastAsia="Open Sans" w:cs="Open Sans"/>
          <w:szCs w:val="24"/>
        </w:rPr>
        <w:t>a</w:t>
      </w:r>
      <w:r w:rsidRPr="006A3637">
        <w:rPr>
          <w:rFonts w:eastAsia="Open Sans" w:cs="Open Sans"/>
          <w:szCs w:val="24"/>
        </w:rPr>
        <w:t xml:space="preserve">id Manual providing assistance to the project partners that is available on the </w:t>
      </w:r>
      <w:bookmarkEnd w:id="94"/>
      <w:r w:rsidR="006A022A" w:rsidRPr="006A3637">
        <w:rPr>
          <w:rFonts w:asciiTheme="minorHAnsi" w:hAnsiTheme="minorHAnsi"/>
          <w:sz w:val="28"/>
          <w:szCs w:val="28"/>
          <w:lang w:val="pl-PL"/>
        </w:rPr>
        <w:fldChar w:fldCharType="begin"/>
      </w:r>
      <w:r w:rsidR="006A022A" w:rsidRPr="006A3637">
        <w:rPr>
          <w:sz w:val="32"/>
          <w:szCs w:val="28"/>
        </w:rPr>
        <w:instrText>HYPERLINK "https://southbaltic.eu/documents/18165/513661/2022-10-04_Interreg+South+Baltic+Programme+2021-2027_approved+by+the+EC.pdf.pdf/315a9297-9a06-481e-9412-7f37bbd1b0b8"</w:instrText>
      </w:r>
      <w:r w:rsidR="006A022A" w:rsidRPr="006A3637">
        <w:rPr>
          <w:rFonts w:asciiTheme="minorHAnsi" w:hAnsiTheme="minorHAnsi"/>
          <w:sz w:val="28"/>
          <w:szCs w:val="28"/>
          <w:lang w:val="pl-PL"/>
        </w:rPr>
      </w:r>
      <w:r w:rsidR="006A022A" w:rsidRPr="006A3637">
        <w:rPr>
          <w:rFonts w:asciiTheme="minorHAnsi" w:hAnsiTheme="minorHAnsi"/>
          <w:sz w:val="28"/>
          <w:szCs w:val="28"/>
          <w:lang w:val="pl-PL"/>
        </w:rPr>
        <w:fldChar w:fldCharType="separate"/>
      </w:r>
      <w:r w:rsidR="006A022A" w:rsidRPr="006A3637">
        <w:rPr>
          <w:rFonts w:ascii="Open Sans ExtraBold" w:eastAsia="Open Sans" w:cs="Open Sans"/>
          <w:b/>
          <w:color w:val="003399"/>
          <w:spacing w:val="-2"/>
          <w:szCs w:val="28"/>
        </w:rPr>
        <w:t>Programme document</w:t>
      </w:r>
      <w:r w:rsidR="006A022A" w:rsidRPr="006A3637">
        <w:rPr>
          <w:rFonts w:ascii="Open Sans ExtraBold" w:eastAsia="Open Sans" w:cs="Open Sans"/>
          <w:b/>
          <w:color w:val="003399"/>
          <w:spacing w:val="-2"/>
          <w:szCs w:val="28"/>
        </w:rPr>
        <w:fldChar w:fldCharType="end"/>
      </w:r>
      <w:r w:rsidR="006A022A" w:rsidRPr="006A3637">
        <w:rPr>
          <w:rFonts w:eastAsia="Open Sans" w:cs="Open Sans"/>
          <w:szCs w:val="24"/>
        </w:rPr>
        <w:t>.</w:t>
      </w:r>
    </w:p>
    <w:p w14:paraId="3126D7E6" w14:textId="168992E5" w:rsidR="0072780D" w:rsidRPr="006A022A" w:rsidRDefault="003774DC" w:rsidP="003C58C0">
      <w:pPr>
        <w:pStyle w:val="Heading2"/>
        <w:spacing w:line="360" w:lineRule="auto"/>
      </w:pPr>
      <w:bookmarkStart w:id="95" w:name="_Toc147242417"/>
      <w:r w:rsidRPr="006A022A">
        <w:t>6</w:t>
      </w:r>
      <w:r w:rsidR="0072780D" w:rsidRPr="006A022A">
        <w:t xml:space="preserve"> COST SHARING</w:t>
      </w:r>
      <w:bookmarkEnd w:id="95"/>
    </w:p>
    <w:p w14:paraId="5EAB3E02" w14:textId="00036513" w:rsidR="003A7F6E" w:rsidRPr="00E64F65" w:rsidRDefault="003A7F6E" w:rsidP="003C58C0">
      <w:pPr>
        <w:spacing w:line="360" w:lineRule="auto"/>
      </w:pPr>
      <w:bookmarkStart w:id="96" w:name="_Toc429501124"/>
      <w:bookmarkStart w:id="97" w:name="IV7"/>
      <w:bookmarkEnd w:id="75"/>
      <w:bookmarkEnd w:id="76"/>
      <w:bookmarkEnd w:id="77"/>
      <w:bookmarkEnd w:id="78"/>
      <w:r w:rsidRPr="00E64F65">
        <w:t>Cost sharing, which is a pro rata allocation of certain project expenditure incurred by a partner and allocated to various other project partners, is not allowed in the South Baltic Programme 2021</w:t>
      </w:r>
      <w:r w:rsidR="00C32F77" w:rsidRPr="00E64F65">
        <w:t>–</w:t>
      </w:r>
      <w:r w:rsidRPr="00E64F65">
        <w:t xml:space="preserve">2027. </w:t>
      </w:r>
    </w:p>
    <w:p w14:paraId="20B16E55" w14:textId="77777777" w:rsidR="00C619F8" w:rsidRPr="00E64F65" w:rsidRDefault="003A7F6E" w:rsidP="003C58C0">
      <w:pPr>
        <w:spacing w:line="360" w:lineRule="auto"/>
      </w:pPr>
      <w:r w:rsidRPr="00E64F65">
        <w:t>In principle, the Programme advises cross-border partnerships to share tasks but not costs.</w:t>
      </w:r>
    </w:p>
    <w:p w14:paraId="46DBC655" w14:textId="45BC74DE" w:rsidR="004136D9" w:rsidRPr="00E64F65" w:rsidRDefault="003A7F6E" w:rsidP="003C58C0">
      <w:pPr>
        <w:spacing w:line="360" w:lineRule="auto"/>
      </w:pPr>
      <w:r w:rsidRPr="00E64F65">
        <w:t xml:space="preserve">Therefore, a fair and well-planned division of tasks and budget among the partnership is essential when developing the project. </w:t>
      </w:r>
    </w:p>
    <w:p w14:paraId="41E2441D" w14:textId="392E8763" w:rsidR="00FE2844" w:rsidRPr="00E64F65" w:rsidRDefault="003774DC" w:rsidP="003C58C0">
      <w:pPr>
        <w:pStyle w:val="Heading2"/>
        <w:spacing w:line="360" w:lineRule="auto"/>
      </w:pPr>
      <w:bookmarkStart w:id="98" w:name="_Toc147242418"/>
      <w:bookmarkEnd w:id="96"/>
      <w:bookmarkEnd w:id="97"/>
      <w:r w:rsidRPr="00E64F65">
        <w:t>7</w:t>
      </w:r>
      <w:r w:rsidR="008D77D8" w:rsidRPr="00E64F65">
        <w:t xml:space="preserve"> COMPETITION AND PUBLIC PROCUREMENT</w:t>
      </w:r>
      <w:bookmarkEnd w:id="98"/>
    </w:p>
    <w:p w14:paraId="4C94DF97" w14:textId="05C980A5" w:rsidR="00976FD9" w:rsidRPr="00C223C5" w:rsidRDefault="003774DC" w:rsidP="003C58C0">
      <w:pPr>
        <w:pStyle w:val="Heading3"/>
        <w:spacing w:line="360" w:lineRule="auto"/>
      </w:pPr>
      <w:bookmarkStart w:id="99" w:name="_Toc147242419"/>
      <w:r w:rsidRPr="00C223C5">
        <w:lastRenderedPageBreak/>
        <w:t>7</w:t>
      </w:r>
      <w:r w:rsidR="00976FD9" w:rsidRPr="00C223C5">
        <w:t xml:space="preserve">.1 </w:t>
      </w:r>
      <w:r w:rsidR="005B2548" w:rsidRPr="00C223C5">
        <w:t>Conducting procurement procedures</w:t>
      </w:r>
      <w:bookmarkEnd w:id="99"/>
    </w:p>
    <w:p w14:paraId="687B113D" w14:textId="77777777" w:rsidR="006C0864" w:rsidRPr="00E64F65" w:rsidRDefault="006C0864" w:rsidP="003C58C0">
      <w:pPr>
        <w:spacing w:line="360" w:lineRule="auto"/>
      </w:pPr>
      <w:r w:rsidRPr="00E64F65">
        <w:t>When preparing and conducting a public procurement, as well as awarding a contract within the project, it should be carried out in a manner that guarantees compliance with the principle of:</w:t>
      </w:r>
    </w:p>
    <w:p w14:paraId="545136FD" w14:textId="1F4451E7" w:rsidR="006C0864" w:rsidRPr="00E64F65" w:rsidRDefault="004246E3" w:rsidP="003C58C0">
      <w:pPr>
        <w:pStyle w:val="ListParagraph"/>
        <w:numPr>
          <w:ilvl w:val="0"/>
          <w:numId w:val="22"/>
        </w:numPr>
        <w:spacing w:line="360" w:lineRule="auto"/>
      </w:pPr>
      <w:r>
        <w:t>Tr</w:t>
      </w:r>
      <w:r w:rsidR="006C0864" w:rsidRPr="00E64F65">
        <w:t>ansparency</w:t>
      </w:r>
    </w:p>
    <w:p w14:paraId="4AB75BFB" w14:textId="7EBC74B3" w:rsidR="006C0864" w:rsidRPr="00E64F65" w:rsidRDefault="004246E3" w:rsidP="003C58C0">
      <w:pPr>
        <w:pStyle w:val="ListParagraph"/>
        <w:numPr>
          <w:ilvl w:val="0"/>
          <w:numId w:val="22"/>
        </w:numPr>
        <w:spacing w:line="360" w:lineRule="auto"/>
      </w:pPr>
      <w:r>
        <w:t>F</w:t>
      </w:r>
      <w:r w:rsidR="006C0864" w:rsidRPr="00E64F65">
        <w:t>air competitio</w:t>
      </w:r>
      <w:r>
        <w:t>n</w:t>
      </w:r>
    </w:p>
    <w:p w14:paraId="77507E60" w14:textId="508B7E02" w:rsidR="006C0864" w:rsidRPr="00E64F65" w:rsidRDefault="004246E3" w:rsidP="003C58C0">
      <w:pPr>
        <w:pStyle w:val="ListParagraph"/>
        <w:numPr>
          <w:ilvl w:val="0"/>
          <w:numId w:val="22"/>
        </w:numPr>
        <w:spacing w:line="360" w:lineRule="auto"/>
      </w:pPr>
      <w:r>
        <w:t>E</w:t>
      </w:r>
      <w:r w:rsidR="006C0864" w:rsidRPr="00E64F65">
        <w:t>qual treatment of contractors, including potential contracto</w:t>
      </w:r>
      <w:r w:rsidR="00601743" w:rsidRPr="00E64F65">
        <w:t>rs.</w:t>
      </w:r>
    </w:p>
    <w:p w14:paraId="660D330A" w14:textId="77777777" w:rsidR="006C0864" w:rsidRPr="00E64F65" w:rsidRDefault="006C0864" w:rsidP="003C58C0">
      <w:pPr>
        <w:spacing w:line="360" w:lineRule="auto"/>
      </w:pPr>
      <w:r w:rsidRPr="00E64F65">
        <w:t>In addition, the principle of sound financial management with respect to all contracts awarded within the project should be followed, meaning the principles of:</w:t>
      </w:r>
    </w:p>
    <w:p w14:paraId="236C04BD" w14:textId="311C4068" w:rsidR="006C0864" w:rsidRPr="00E64F65" w:rsidRDefault="004246E3" w:rsidP="003C58C0">
      <w:pPr>
        <w:pStyle w:val="ListParagraph"/>
        <w:numPr>
          <w:ilvl w:val="0"/>
          <w:numId w:val="22"/>
        </w:numPr>
        <w:spacing w:line="360" w:lineRule="auto"/>
      </w:pPr>
      <w:r>
        <w:t>E</w:t>
      </w:r>
      <w:r w:rsidR="006C0864" w:rsidRPr="00E64F65">
        <w:t>conomy</w:t>
      </w:r>
    </w:p>
    <w:p w14:paraId="01FE950A" w14:textId="23DF9E17" w:rsidR="006C0864" w:rsidRPr="00E64F65" w:rsidRDefault="004246E3" w:rsidP="003C58C0">
      <w:pPr>
        <w:pStyle w:val="ListParagraph"/>
        <w:numPr>
          <w:ilvl w:val="0"/>
          <w:numId w:val="22"/>
        </w:numPr>
        <w:spacing w:line="360" w:lineRule="auto"/>
      </w:pPr>
      <w:r>
        <w:t>E</w:t>
      </w:r>
      <w:r w:rsidR="006C0864" w:rsidRPr="00E64F65">
        <w:t>fficiency</w:t>
      </w:r>
    </w:p>
    <w:p w14:paraId="1EA853F6" w14:textId="7B62094C" w:rsidR="006C0864" w:rsidRPr="00E64F65" w:rsidRDefault="004246E3" w:rsidP="003C58C0">
      <w:pPr>
        <w:pStyle w:val="ListParagraph"/>
        <w:numPr>
          <w:ilvl w:val="0"/>
          <w:numId w:val="22"/>
        </w:numPr>
        <w:spacing w:line="360" w:lineRule="auto"/>
      </w:pPr>
      <w:r>
        <w:t>E</w:t>
      </w:r>
      <w:r w:rsidR="006C0864" w:rsidRPr="00E64F65">
        <w:t>ffectiveness</w:t>
      </w:r>
      <w:r>
        <w:t>.</w:t>
      </w:r>
    </w:p>
    <w:p w14:paraId="5066545F" w14:textId="60C348DA" w:rsidR="00D21900" w:rsidRDefault="006C0864" w:rsidP="003C58C0">
      <w:pPr>
        <w:spacing w:line="360" w:lineRule="auto"/>
        <w:rPr>
          <w:rFonts w:ascii="Open Sans ExtraBold"/>
          <w:b/>
          <w:color w:val="003399"/>
          <w:spacing w:val="-2"/>
        </w:rPr>
      </w:pPr>
      <w:r w:rsidRPr="00E64F65">
        <w:t xml:space="preserve">Procurement contracts </w:t>
      </w:r>
      <w:r w:rsidR="009A6E77" w:rsidRPr="00E64F65">
        <w:t>must</w:t>
      </w:r>
      <w:r w:rsidRPr="00E64F65">
        <w:t xml:space="preserve"> be awarded pursuant to EU and national regulations on tendering and awarding contracts. This will ensure that competition and public procurement principles are followed. </w:t>
      </w:r>
      <w:r w:rsidR="009A6E77" w:rsidRPr="00E64F65">
        <w:t xml:space="preserve">The list </w:t>
      </w:r>
      <w:r w:rsidRPr="00E64F65">
        <w:t xml:space="preserve">of appropriate legal acts and other documents that are binding in each Member State participating in the Programme is published on the </w:t>
      </w:r>
      <w:hyperlink r:id="rId26" w:history="1">
        <w:r w:rsidR="006D049C" w:rsidRPr="00DC4ED8">
          <w:rPr>
            <w:rFonts w:ascii="Open Sans ExtraBold"/>
            <w:b/>
            <w:color w:val="003399"/>
            <w:spacing w:val="-2"/>
          </w:rPr>
          <w:t>Programme website.</w:t>
        </w:r>
      </w:hyperlink>
    </w:p>
    <w:p w14:paraId="3942E61F" w14:textId="7EDD3697" w:rsidR="00165A30" w:rsidRPr="00D21900" w:rsidRDefault="006A3637" w:rsidP="003C58C0">
      <w:pPr>
        <w:spacing w:line="360" w:lineRule="auto"/>
        <w:rPr>
          <w:rFonts w:ascii="Open Sans ExtraBold" w:eastAsia="Open Sans" w:cs="Open Sans"/>
          <w:color w:val="003399"/>
          <w:spacing w:val="-2"/>
          <w:sz w:val="20"/>
        </w:rPr>
      </w:pPr>
      <w:r>
        <w:rPr>
          <w:noProof/>
        </w:rPr>
        <mc:AlternateContent>
          <mc:Choice Requires="wps">
            <w:drawing>
              <wp:inline distT="0" distB="0" distL="0" distR="0" wp14:anchorId="0784444E" wp14:editId="783D2B24">
                <wp:extent cx="5772150" cy="1028700"/>
                <wp:effectExtent l="0" t="0" r="19050" b="19050"/>
                <wp:docPr id="2037763066"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028700"/>
                        </a:xfrm>
                        <a:prstGeom prst="rect">
                          <a:avLst/>
                        </a:prstGeom>
                        <a:ln w="12700">
                          <a:solidFill>
                            <a:srgbClr val="003399"/>
                          </a:solidFill>
                          <a:prstDash val="solid"/>
                        </a:ln>
                      </wps:spPr>
                      <wps:txbx>
                        <w:txbxContent>
                          <w:p w14:paraId="15BD2CE4" w14:textId="77777777" w:rsidR="006A3637" w:rsidRPr="006A3637" w:rsidRDefault="006A3637" w:rsidP="006A3637">
                            <w:pPr>
                              <w:pStyle w:val="BodyText"/>
                              <w:rPr>
                                <w:rFonts w:ascii="Open Sans SemiBold" w:eastAsia="Open Sans SemiBold" w:hAnsi="Open Sans SemiBold" w:cs="Open Sans SemiBold"/>
                                <w:bCs/>
                                <w:color w:val="003399"/>
                                <w:sz w:val="24"/>
                                <w:lang w:eastAsia="en-US"/>
                              </w:rPr>
                            </w:pPr>
                            <w:r w:rsidRPr="006A3637">
                              <w:rPr>
                                <w:rFonts w:ascii="Open Sans SemiBold" w:eastAsia="Open Sans SemiBold" w:hAnsi="Open Sans SemiBold" w:cs="Open Sans SemiBold"/>
                                <w:bCs/>
                                <w:color w:val="003399"/>
                                <w:sz w:val="24"/>
                                <w:lang w:eastAsia="en-US"/>
                              </w:rPr>
                              <w:t xml:space="preserve">NB: </w:t>
                            </w:r>
                          </w:p>
                          <w:p w14:paraId="156FD8CF"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Public procurement and competition thresholds are defined at national levels. It is of the utmost importance to get acquainted with them well in advance before carrying out procurement activities in the project.</w:t>
                            </w:r>
                          </w:p>
                        </w:txbxContent>
                      </wps:txbx>
                      <wps:bodyPr wrap="square" lIns="0" tIns="0" rIns="0" bIns="0" rtlCol="0">
                        <a:noAutofit/>
                      </wps:bodyPr>
                    </wps:wsp>
                  </a:graphicData>
                </a:graphic>
              </wp:inline>
            </w:drawing>
          </mc:Choice>
          <mc:Fallback>
            <w:pict>
              <v:shape w14:anchorId="0784444E" id="_x0000_s1059" type="#_x0000_t202" style="width:454.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" filled="f" strokecolor="#039" strokeweight="1pt">
                <v:path arrowok="t"/>
                <v:textbox inset="0,0,0,0">
                  <w:txbxContent>
                    <w:p w14:paraId="15BD2CE4" w14:textId="77777777" w:rsidR="006A3637" w:rsidRPr="006A3637" w:rsidRDefault="006A3637" w:rsidP="006A3637">
                      <w:pPr>
                        <w:pStyle w:val="BodyText"/>
                        <w:rPr>
                          <w:rFonts w:ascii="Open Sans SemiBold" w:eastAsia="Open Sans SemiBold" w:hAnsi="Open Sans SemiBold" w:cs="Open Sans SemiBold"/>
                          <w:bCs/>
                          <w:color w:val="003399"/>
                          <w:sz w:val="24"/>
                          <w:lang w:eastAsia="en-US"/>
                        </w:rPr>
                      </w:pPr>
                      <w:r w:rsidRPr="006A3637">
                        <w:rPr>
                          <w:rFonts w:ascii="Open Sans SemiBold" w:eastAsia="Open Sans SemiBold" w:hAnsi="Open Sans SemiBold" w:cs="Open Sans SemiBold"/>
                          <w:bCs/>
                          <w:color w:val="003399"/>
                          <w:sz w:val="24"/>
                          <w:lang w:eastAsia="en-US"/>
                        </w:rPr>
                        <w:t xml:space="preserve">NB: </w:t>
                      </w:r>
                    </w:p>
                    <w:p w14:paraId="156FD8CF"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Public procurement and competition thresholds are defined at national levels. It is of the utmost importance to get acquainted with them well in advance before carrying out procurement activities in the project.</w:t>
                      </w:r>
                    </w:p>
                  </w:txbxContent>
                </v:textbox>
                <w10:anchorlock/>
              </v:shape>
            </w:pict>
          </mc:Fallback>
        </mc:AlternateContent>
      </w:r>
    </w:p>
    <w:p w14:paraId="2778516F" w14:textId="362E730E" w:rsidR="001700D5" w:rsidRDefault="00474340" w:rsidP="003C58C0">
      <w:pPr>
        <w:spacing w:line="360" w:lineRule="auto"/>
      </w:pPr>
      <w:r w:rsidRPr="00E771FD">
        <w:t xml:space="preserve">The beneficiary must exclude from a public procurement procedure or competition persons and entities included in the EU or national sanction lists in </w:t>
      </w:r>
      <w:r w:rsidRPr="00E771FD">
        <w:lastRenderedPageBreak/>
        <w:t xml:space="preserve">connection with Russia's aggression against Ukraine or an entity that is related to persons or entities included in these </w:t>
      </w:r>
      <w:r w:rsidR="00902F5C" w:rsidRPr="00E771FD">
        <w:t>lists</w:t>
      </w:r>
      <w:r w:rsidR="009E20C1">
        <w:rPr>
          <w:rStyle w:val="FootnoteReference"/>
          <w:rFonts w:eastAsia="Open Sans" w:cs="Open Sans"/>
          <w:sz w:val="20"/>
          <w:szCs w:val="20"/>
        </w:rPr>
        <w:footnoteReference w:id="34"/>
      </w:r>
      <w:r w:rsidR="00902F5C" w:rsidRPr="00E771FD">
        <w:t>.</w:t>
      </w:r>
    </w:p>
    <w:p w14:paraId="629C693C" w14:textId="1AE6BCB4" w:rsidR="00B90E0B" w:rsidRDefault="006A3637" w:rsidP="003C58C0">
      <w:pPr>
        <w:spacing w:line="360" w:lineRule="auto"/>
      </w:pPr>
      <w:r>
        <w:rPr>
          <w:noProof/>
        </w:rPr>
        <mc:AlternateContent>
          <mc:Choice Requires="wps">
            <w:drawing>
              <wp:inline distT="0" distB="0" distL="0" distR="0" wp14:anchorId="20E210B2" wp14:editId="1BA74532">
                <wp:extent cx="5753100" cy="612140"/>
                <wp:effectExtent l="0" t="0" r="19050" b="16510"/>
                <wp:docPr id="88804075" name="Text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612140"/>
                        </a:xfrm>
                        <a:prstGeom prst="rect">
                          <a:avLst/>
                        </a:prstGeom>
                        <a:ln w="12700">
                          <a:solidFill>
                            <a:srgbClr val="003399"/>
                          </a:solidFill>
                          <a:prstDash val="solid"/>
                        </a:ln>
                      </wps:spPr>
                      <wps:txbx>
                        <w:txbxContent>
                          <w:p w14:paraId="52AEE728"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Annex 3 Specific rules of awarding contracts under the project - specific rules for Polish project beneficiaries provides guidance to be followed by Polish partners.</w:t>
                            </w:r>
                          </w:p>
                        </w:txbxContent>
                      </wps:txbx>
                      <wps:bodyPr wrap="square" lIns="0" tIns="0" rIns="0" bIns="0" rtlCol="0">
                        <a:noAutofit/>
                      </wps:bodyPr>
                    </wps:wsp>
                  </a:graphicData>
                </a:graphic>
              </wp:inline>
            </w:drawing>
          </mc:Choice>
          <mc:Fallback>
            <w:pict>
              <v:shape w14:anchorId="20E210B2" id="_x0000_s1060" type="#_x0000_t202" style="width:453pt;height:4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" filled="f" strokecolor="#039" strokeweight="1pt">
                <v:path arrowok="t"/>
                <v:textbox inset="0,0,0,0">
                  <w:txbxContent>
                    <w:p w14:paraId="52AEE728"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Annex 3 Specific rules of awarding contracts under the project - specific rules for Polish project beneficiaries provides guidance to be followed by Polish partners.</w:t>
                      </w:r>
                    </w:p>
                  </w:txbxContent>
                </v:textbox>
                <w10:anchorlock/>
              </v:shape>
            </w:pict>
          </mc:Fallback>
        </mc:AlternateContent>
      </w:r>
    </w:p>
    <w:p w14:paraId="136B97C8" w14:textId="7D05676E" w:rsidR="00165A30" w:rsidRDefault="006C0864" w:rsidP="003C58C0">
      <w:pPr>
        <w:spacing w:line="360" w:lineRule="auto"/>
      </w:pPr>
      <w:r w:rsidRPr="001700D5">
        <w:t xml:space="preserve">In </w:t>
      </w:r>
      <w:r w:rsidR="009A6E77" w:rsidRPr="001700D5">
        <w:t xml:space="preserve">the </w:t>
      </w:r>
      <w:r w:rsidRPr="001700D5">
        <w:t xml:space="preserve">case of </w:t>
      </w:r>
      <w:r w:rsidRPr="004246E3">
        <w:rPr>
          <w:rFonts w:ascii="Open Sans SemiBold" w:eastAsia="Open Sans SemiBold" w:hAnsi="Open Sans SemiBold" w:cs="Open Sans SemiBold"/>
          <w:bCs/>
          <w:color w:val="003399"/>
        </w:rPr>
        <w:t>a breach of the regulations</w:t>
      </w:r>
      <w:r w:rsidRPr="001700D5">
        <w:t xml:space="preserve"> or principles on the award of public contracts (or the Programme procurement principles) the declared expenditure will be deemed, in whole or in part, ineligible. The amount of ineligible expenditure will be calculated according to the regulations or procedures adopted in the given Member State</w:t>
      </w:r>
      <w:r w:rsidR="009A6E77" w:rsidRPr="001700D5">
        <w:t>.</w:t>
      </w:r>
      <w:r w:rsidR="007319BB">
        <w:rPr>
          <w:rStyle w:val="FootnoteReference"/>
          <w:rFonts w:eastAsia="Open Sans" w:cs="Open Sans"/>
          <w:sz w:val="20"/>
          <w:szCs w:val="20"/>
        </w:rPr>
        <w:footnoteReference w:id="35"/>
      </w:r>
      <w:r w:rsidRPr="001700D5">
        <w:t xml:space="preserve"> If the Member State has not adopted rules for determining the amount of ineligible expenditure, the European Commission’s document on determining financial corrections for non-compliance with the rules on public procurement is applicable. The latest up-to-date version in relation to the expenditure in question is always applicable </w:t>
      </w:r>
      <w:r w:rsidR="00D96EF3" w:rsidRPr="001700D5">
        <w:t>to</w:t>
      </w:r>
      <w:r w:rsidRPr="001700D5">
        <w:t xml:space="preserve"> the FLCs and auditors.</w:t>
      </w:r>
      <w:bookmarkStart w:id="101" w:name="_Toc429501125"/>
      <w:bookmarkStart w:id="102" w:name="_Toc431818956"/>
    </w:p>
    <w:p w14:paraId="6DDEC4F3" w14:textId="615FF49C" w:rsidR="006C0864" w:rsidRPr="001700D5" w:rsidRDefault="00B62D9C" w:rsidP="003C58C0">
      <w:pPr>
        <w:spacing w:line="360" w:lineRule="auto"/>
      </w:pPr>
      <w:r>
        <w:rPr>
          <w:noProof/>
        </w:rPr>
        <w:lastRenderedPageBreak/>
        <mc:AlternateContent>
          <mc:Choice Requires="wps">
            <w:drawing>
              <wp:inline distT="0" distB="0" distL="0" distR="0" wp14:anchorId="3937E209" wp14:editId="2FE7332F">
                <wp:extent cx="5751830" cy="428625"/>
                <wp:effectExtent l="0" t="0" r="20320" b="28575"/>
                <wp:docPr id="2022178301"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428625"/>
                        </a:xfrm>
                        <a:prstGeom prst="rect">
                          <a:avLst/>
                        </a:prstGeom>
                        <a:ln w="12700">
                          <a:solidFill>
                            <a:srgbClr val="003399"/>
                          </a:solidFill>
                          <a:prstDash val="solid"/>
                        </a:ln>
                      </wps:spPr>
                      <wps:txbx>
                        <w:txbxContent>
                          <w:p w14:paraId="5F588129" w14:textId="77777777" w:rsidR="00B62D9C" w:rsidRPr="006A3637" w:rsidRDefault="00B62D9C" w:rsidP="00B62D9C">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All public procurement procedures must be well documented!</w:t>
                            </w:r>
                          </w:p>
                        </w:txbxContent>
                      </wps:txbx>
                      <wps:bodyPr wrap="square" lIns="0" tIns="0" rIns="0" bIns="0" rtlCol="0">
                        <a:noAutofit/>
                      </wps:bodyPr>
                    </wps:wsp>
                  </a:graphicData>
                </a:graphic>
              </wp:inline>
            </w:drawing>
          </mc:Choice>
          <mc:Fallback>
            <w:pict>
              <v:shape w14:anchorId="3937E209" id="_x0000_s1061" type="#_x0000_t202" style="width:452.9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" filled="f" strokecolor="#039" strokeweight="1pt">
                <v:path arrowok="t"/>
                <v:textbox inset="0,0,0,0">
                  <w:txbxContent>
                    <w:p w14:paraId="5F588129" w14:textId="77777777" w:rsidR="00B62D9C" w:rsidRPr="006A3637" w:rsidRDefault="00B62D9C" w:rsidP="00B62D9C">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All public procurement procedures must be well documented!</w:t>
                      </w:r>
                    </w:p>
                  </w:txbxContent>
                </v:textbox>
                <w10:anchorlock/>
              </v:shape>
            </w:pict>
          </mc:Fallback>
        </mc:AlternateContent>
      </w:r>
      <w:r w:rsidR="006C0864" w:rsidRPr="001700D5">
        <w:t xml:space="preserve">Documents such as public procurement notes, terms of reference, offers/quotes, order forms, and contracts </w:t>
      </w:r>
      <w:r w:rsidR="00A47A87" w:rsidRPr="001700D5">
        <w:t>must</w:t>
      </w:r>
      <w:r w:rsidR="006C0864" w:rsidRPr="001700D5">
        <w:t xml:space="preserve"> be available for financial control and audit purposes. Projects </w:t>
      </w:r>
      <w:r w:rsidR="00A47A87" w:rsidRPr="001700D5">
        <w:t xml:space="preserve">that </w:t>
      </w:r>
      <w:r w:rsidR="006C0864" w:rsidRPr="001700D5">
        <w:t>cannot provide documentary proof of compliance with European, national and their own internal public procurement rules risk losing ERDF funding.</w:t>
      </w:r>
      <w:r w:rsidR="002D77A5" w:rsidRPr="001700D5">
        <w:t xml:space="preserve"> </w:t>
      </w:r>
    </w:p>
    <w:p w14:paraId="5DD0B8BA" w14:textId="2A8B1643" w:rsidR="00B720DF" w:rsidRDefault="003774DC" w:rsidP="003C58C0">
      <w:pPr>
        <w:pStyle w:val="Heading3"/>
        <w:spacing w:line="360" w:lineRule="auto"/>
      </w:pPr>
      <w:bookmarkStart w:id="103" w:name="_Toc147242420"/>
      <w:bookmarkEnd w:id="101"/>
      <w:bookmarkEnd w:id="102"/>
      <w:r w:rsidRPr="00C223C5">
        <w:t>7</w:t>
      </w:r>
      <w:r w:rsidR="001D70DA" w:rsidRPr="00C223C5">
        <w:t>.</w:t>
      </w:r>
      <w:r w:rsidR="00F40D43" w:rsidRPr="00C223C5">
        <w:t>2</w:t>
      </w:r>
      <w:r w:rsidR="001D70DA" w:rsidRPr="00C223C5">
        <w:t xml:space="preserve"> Conflict of interest and anti-corruption</w:t>
      </w:r>
      <w:bookmarkEnd w:id="103"/>
    </w:p>
    <w:p w14:paraId="6491AD49" w14:textId="22AA3206" w:rsidR="0003579B" w:rsidRPr="006A28C3" w:rsidRDefault="006677A0" w:rsidP="003C58C0">
      <w:pPr>
        <w:spacing w:line="360" w:lineRule="auto"/>
      </w:pPr>
      <w:bookmarkStart w:id="104" w:name="_Hlk110584853"/>
      <w:r w:rsidRPr="006677A0">
        <w:rPr>
          <w:lang w:val="en-GB"/>
        </w:rPr>
        <w:t>The Programme is based on the European Commission’s principle of</w:t>
      </w:r>
      <w:r>
        <w:rPr>
          <w:lang w:val="en-GB"/>
        </w:rPr>
        <w:t xml:space="preserve"> </w:t>
      </w:r>
      <w:r w:rsidRPr="006A28C3">
        <w:rPr>
          <w:rFonts w:ascii="Open Sans ExtraBold"/>
          <w:b/>
          <w:color w:val="003399"/>
          <w:spacing w:val="-2"/>
        </w:rPr>
        <w:t>ZERO TOLERANCE FOR FRAUD</w:t>
      </w:r>
      <w:r w:rsidR="006A28C3">
        <w:rPr>
          <w:rFonts w:ascii="Open Sans ExtraBold"/>
          <w:b/>
          <w:color w:val="003399"/>
          <w:spacing w:val="-2"/>
        </w:rPr>
        <w:t>!</w:t>
      </w:r>
      <w:r w:rsidR="009E20C1">
        <w:rPr>
          <w:rStyle w:val="FootnoteReference"/>
          <w:rFonts w:ascii="Open Sans ExtraBold"/>
          <w:b/>
          <w:color w:val="003399"/>
          <w:spacing w:val="-2"/>
          <w:sz w:val="20"/>
        </w:rPr>
        <w:footnoteReference w:id="36"/>
      </w:r>
    </w:p>
    <w:p w14:paraId="029DE75B" w14:textId="049D4ADC" w:rsidR="00B90E0B" w:rsidRDefault="00B720DF" w:rsidP="003C58C0">
      <w:pPr>
        <w:spacing w:line="360" w:lineRule="auto"/>
      </w:pPr>
      <w:r w:rsidRPr="00B720DF">
        <w:t xml:space="preserve">The ERDF co-financing for projects implemented under the Programme is paid from public funds from the taxes of European Union taxpayers. Therefore, it must be ensured that decisions related to the spending of EU funding by the institutions implementing the project in the framework of the Programme are made in a transparent, impartial, and objective manner. Both Programme institutions and project partners who receive ERDF co-financing are obliged to implement not only EU regulations and national law, but also the Programme rules concerning the spending of the EU funding. </w:t>
      </w:r>
    </w:p>
    <w:p w14:paraId="5678C314" w14:textId="2A869D5E" w:rsidR="00B65991" w:rsidRDefault="00B62D9C" w:rsidP="003C58C0">
      <w:pPr>
        <w:spacing w:line="360" w:lineRule="auto"/>
      </w:pPr>
      <w:r>
        <w:rPr>
          <w:noProof/>
        </w:rPr>
        <mc:AlternateContent>
          <mc:Choice Requires="wps">
            <w:drawing>
              <wp:inline distT="0" distB="0" distL="0" distR="0" wp14:anchorId="094FF16C" wp14:editId="5AED80A5">
                <wp:extent cx="5772150" cy="723900"/>
                <wp:effectExtent l="0" t="0" r="19050" b="19050"/>
                <wp:docPr id="1294012309"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723900"/>
                        </a:xfrm>
                        <a:prstGeom prst="rect">
                          <a:avLst/>
                        </a:prstGeom>
                        <a:ln w="12700">
                          <a:solidFill>
                            <a:srgbClr val="003399"/>
                          </a:solidFill>
                          <a:prstDash val="solid"/>
                        </a:ln>
                      </wps:spPr>
                      <wps:txbx>
                        <w:txbxContent>
                          <w:p w14:paraId="1D3C4260" w14:textId="77777777" w:rsidR="00B62D9C" w:rsidRPr="006A3637" w:rsidRDefault="00B62D9C" w:rsidP="00B62D9C">
                            <w:pPr>
                              <w:pStyle w:val="BodyText"/>
                              <w:rPr>
                                <w:rFonts w:ascii="Open Sans ExtraBold" w:eastAsiaTheme="minorHAnsi" w:hAnsiTheme="minorHAnsi" w:cstheme="minorBidi"/>
                                <w:b/>
                                <w:color w:val="003399"/>
                                <w:spacing w:val="-2"/>
                                <w:sz w:val="24"/>
                                <w:szCs w:val="28"/>
                                <w:lang w:eastAsia="en-US"/>
                              </w:rPr>
                            </w:pPr>
                            <w:r w:rsidRPr="006A3637">
                              <w:rPr>
                                <w:rFonts w:ascii="Open Sans ExtraBold" w:eastAsiaTheme="minorHAnsi" w:hAnsiTheme="minorHAnsi" w:cstheme="minorBidi"/>
                                <w:b/>
                                <w:color w:val="003399"/>
                                <w:spacing w:val="-2"/>
                                <w:sz w:val="24"/>
                                <w:szCs w:val="28"/>
                                <w:lang w:eastAsia="en-US"/>
                              </w:rPr>
                              <w:t xml:space="preserve">NB: </w:t>
                            </w:r>
                          </w:p>
                          <w:p w14:paraId="2BCB0D81" w14:textId="77777777" w:rsidR="00B62D9C" w:rsidRPr="006A3637" w:rsidRDefault="00B62D9C" w:rsidP="00B62D9C">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Failure to comply with these rules constitutes irregularity or fraud!</w:t>
                            </w:r>
                          </w:p>
                          <w:p w14:paraId="27D1E349" w14:textId="77777777" w:rsidR="00B62D9C" w:rsidRDefault="00B62D9C" w:rsidP="00B62D9C">
                            <w:pPr>
                              <w:pStyle w:val="BodyText"/>
                              <w:rPr>
                                <w:rFonts w:eastAsia="Open Sans"/>
                              </w:rPr>
                            </w:pPr>
                          </w:p>
                          <w:p w14:paraId="3A091DB2" w14:textId="77777777" w:rsidR="00B62D9C" w:rsidRDefault="00B62D9C" w:rsidP="00B62D9C">
                            <w:pPr>
                              <w:pStyle w:val="BodyText"/>
                              <w:rPr>
                                <w:rFonts w:eastAsia="Open Sans"/>
                              </w:rPr>
                            </w:pPr>
                          </w:p>
                          <w:p w14:paraId="0AC4F5A8" w14:textId="77777777" w:rsidR="00B62D9C" w:rsidRDefault="00B62D9C" w:rsidP="00B62D9C">
                            <w:pPr>
                              <w:pStyle w:val="BodyText"/>
                              <w:rPr>
                                <w:rFonts w:eastAsia="Open Sans"/>
                              </w:rPr>
                            </w:pPr>
                          </w:p>
                          <w:p w14:paraId="4110E627" w14:textId="77777777" w:rsidR="00B62D9C" w:rsidRDefault="00B62D9C" w:rsidP="00B62D9C">
                            <w:pPr>
                              <w:pStyle w:val="BodyText"/>
                              <w:rPr>
                                <w:rFonts w:eastAsia="Open Sans"/>
                              </w:rPr>
                            </w:pPr>
                          </w:p>
                          <w:p w14:paraId="405A41E1" w14:textId="77777777" w:rsidR="00B62D9C" w:rsidRDefault="00B62D9C" w:rsidP="00B62D9C">
                            <w:pPr>
                              <w:pStyle w:val="BodyText"/>
                              <w:rPr>
                                <w:rFonts w:eastAsia="Open Sans"/>
                              </w:rPr>
                            </w:pPr>
                          </w:p>
                          <w:p w14:paraId="619E3B2A" w14:textId="77777777" w:rsidR="00B62D9C" w:rsidRDefault="00B62D9C" w:rsidP="00B62D9C">
                            <w:pPr>
                              <w:pStyle w:val="BodyText"/>
                              <w:rPr>
                                <w:rFonts w:eastAsia="Open Sans"/>
                              </w:rPr>
                            </w:pPr>
                          </w:p>
                          <w:p w14:paraId="0E509FB7" w14:textId="77777777" w:rsidR="00B62D9C" w:rsidRDefault="00B62D9C" w:rsidP="00B62D9C">
                            <w:pPr>
                              <w:pStyle w:val="BodyText"/>
                              <w:rPr>
                                <w:rFonts w:eastAsia="Open Sans"/>
                              </w:rPr>
                            </w:pPr>
                          </w:p>
                          <w:p w14:paraId="460BE0B5" w14:textId="77777777" w:rsidR="00B62D9C" w:rsidRDefault="00B62D9C" w:rsidP="00B62D9C">
                            <w:pPr>
                              <w:pStyle w:val="BodyText"/>
                              <w:rPr>
                                <w:rFonts w:eastAsia="Open Sans"/>
                              </w:rPr>
                            </w:pPr>
                          </w:p>
                          <w:p w14:paraId="50B8668E" w14:textId="77777777" w:rsidR="00B62D9C" w:rsidRDefault="00B62D9C" w:rsidP="00B62D9C">
                            <w:pPr>
                              <w:pStyle w:val="BodyText"/>
                              <w:rPr>
                                <w:rFonts w:eastAsia="Open Sans"/>
                              </w:rPr>
                            </w:pPr>
                          </w:p>
                          <w:p w14:paraId="4D433784" w14:textId="77777777" w:rsidR="00B62D9C" w:rsidRDefault="00B62D9C" w:rsidP="00B62D9C">
                            <w:pPr>
                              <w:pStyle w:val="BodyText"/>
                              <w:rPr>
                                <w:rFonts w:eastAsia="Open Sans"/>
                              </w:rPr>
                            </w:pPr>
                          </w:p>
                          <w:p w14:paraId="26B5AC4E" w14:textId="77777777" w:rsidR="00B62D9C" w:rsidRDefault="00B62D9C" w:rsidP="00B62D9C">
                            <w:pPr>
                              <w:pStyle w:val="BodyText"/>
                              <w:rPr>
                                <w:rFonts w:eastAsia="Open Sans"/>
                              </w:rPr>
                            </w:pPr>
                          </w:p>
                          <w:p w14:paraId="229FEEA6" w14:textId="77777777" w:rsidR="00B62D9C" w:rsidRDefault="00B62D9C" w:rsidP="00B62D9C">
                            <w:pPr>
                              <w:pStyle w:val="BodyText"/>
                              <w:rPr>
                                <w:rFonts w:eastAsia="Open Sans"/>
                              </w:rPr>
                            </w:pPr>
                          </w:p>
                          <w:p w14:paraId="6C9326A0" w14:textId="77777777" w:rsidR="00B62D9C" w:rsidRDefault="00B62D9C" w:rsidP="00B62D9C">
                            <w:pPr>
                              <w:pStyle w:val="BodyText"/>
                              <w:rPr>
                                <w:rFonts w:eastAsia="Open Sans"/>
                              </w:rPr>
                            </w:pPr>
                          </w:p>
                          <w:p w14:paraId="643DBD89" w14:textId="77777777" w:rsidR="00B62D9C" w:rsidRDefault="00B62D9C" w:rsidP="00B62D9C">
                            <w:pPr>
                              <w:pStyle w:val="BodyText"/>
                              <w:rPr>
                                <w:rFonts w:eastAsia="Open Sans"/>
                              </w:rPr>
                            </w:pPr>
                          </w:p>
                          <w:p w14:paraId="2F9D22E3" w14:textId="77777777" w:rsidR="00B62D9C" w:rsidRDefault="00B62D9C" w:rsidP="00B62D9C">
                            <w:pPr>
                              <w:pStyle w:val="BodyText"/>
                              <w:rPr>
                                <w:rFonts w:eastAsia="Open Sans"/>
                              </w:rPr>
                            </w:pPr>
                          </w:p>
                          <w:p w14:paraId="3A502A71" w14:textId="77777777" w:rsidR="00B62D9C" w:rsidRDefault="00B62D9C" w:rsidP="00B62D9C">
                            <w:pPr>
                              <w:pStyle w:val="BodyText"/>
                              <w:rPr>
                                <w:rFonts w:eastAsia="Open Sans"/>
                              </w:rPr>
                            </w:pPr>
                          </w:p>
                          <w:p w14:paraId="307911EF" w14:textId="77777777" w:rsidR="00B62D9C" w:rsidRDefault="00B62D9C" w:rsidP="00B62D9C">
                            <w:pPr>
                              <w:pStyle w:val="BodyText"/>
                              <w:rPr>
                                <w:rFonts w:eastAsia="Open Sans"/>
                              </w:rPr>
                            </w:pPr>
                          </w:p>
                          <w:p w14:paraId="2FB1D258" w14:textId="77777777" w:rsidR="00B62D9C" w:rsidRDefault="00B62D9C" w:rsidP="00B62D9C">
                            <w:pPr>
                              <w:pStyle w:val="BodyText"/>
                              <w:rPr>
                                <w:rFonts w:eastAsia="Open Sans"/>
                              </w:rPr>
                            </w:pPr>
                          </w:p>
                          <w:p w14:paraId="53DF4F9C" w14:textId="77777777" w:rsidR="00B62D9C" w:rsidRDefault="00B62D9C" w:rsidP="00B62D9C">
                            <w:pPr>
                              <w:pStyle w:val="BodyText"/>
                              <w:rPr>
                                <w:rFonts w:eastAsia="Open Sans"/>
                              </w:rPr>
                            </w:pPr>
                          </w:p>
                          <w:p w14:paraId="38FE051D" w14:textId="77777777" w:rsidR="00B62D9C" w:rsidRDefault="00B62D9C" w:rsidP="00B62D9C">
                            <w:pPr>
                              <w:pStyle w:val="BodyText"/>
                              <w:rPr>
                                <w:rFonts w:eastAsia="Open Sans"/>
                              </w:rPr>
                            </w:pPr>
                          </w:p>
                          <w:p w14:paraId="04170387" w14:textId="77777777" w:rsidR="00B62D9C" w:rsidRDefault="00B62D9C" w:rsidP="00B62D9C">
                            <w:pPr>
                              <w:pStyle w:val="BodyText"/>
                              <w:rPr>
                                <w:rFonts w:eastAsia="Open Sans"/>
                              </w:rPr>
                            </w:pPr>
                          </w:p>
                          <w:p w14:paraId="01EF0B4B" w14:textId="77777777" w:rsidR="00B62D9C" w:rsidRDefault="00B62D9C" w:rsidP="00B62D9C">
                            <w:pPr>
                              <w:pStyle w:val="BodyText"/>
                              <w:rPr>
                                <w:rFonts w:eastAsia="Open Sans"/>
                              </w:rPr>
                            </w:pPr>
                          </w:p>
                          <w:p w14:paraId="4A90E708" w14:textId="77777777" w:rsidR="00B62D9C" w:rsidRDefault="00B62D9C" w:rsidP="00B62D9C">
                            <w:pPr>
                              <w:pStyle w:val="BodyText"/>
                              <w:rPr>
                                <w:rFonts w:eastAsia="Open Sans"/>
                              </w:rPr>
                            </w:pPr>
                          </w:p>
                          <w:p w14:paraId="33FBECE2" w14:textId="77777777" w:rsidR="00B62D9C" w:rsidRDefault="00B62D9C" w:rsidP="00B62D9C">
                            <w:pPr>
                              <w:pStyle w:val="BodyText"/>
                              <w:rPr>
                                <w:rFonts w:eastAsia="Open Sans"/>
                              </w:rPr>
                            </w:pPr>
                          </w:p>
                          <w:p w14:paraId="62BB75D0" w14:textId="77777777" w:rsidR="00B62D9C" w:rsidRDefault="00B62D9C" w:rsidP="00B62D9C">
                            <w:pPr>
                              <w:pStyle w:val="BodyText"/>
                              <w:rPr>
                                <w:rFonts w:eastAsia="Open Sans"/>
                              </w:rPr>
                            </w:pPr>
                          </w:p>
                          <w:p w14:paraId="4CA392FD" w14:textId="77777777" w:rsidR="00B62D9C" w:rsidRDefault="00B62D9C" w:rsidP="00B62D9C">
                            <w:pPr>
                              <w:pStyle w:val="BodyText"/>
                              <w:rPr>
                                <w:rFonts w:eastAsia="Open Sans"/>
                              </w:rPr>
                            </w:pPr>
                          </w:p>
                          <w:p w14:paraId="3A4AD95D" w14:textId="77777777" w:rsidR="00B62D9C" w:rsidRDefault="00B62D9C" w:rsidP="00B62D9C">
                            <w:pPr>
                              <w:pStyle w:val="BodyText"/>
                              <w:rPr>
                                <w:rFonts w:eastAsia="Open Sans"/>
                              </w:rPr>
                            </w:pPr>
                          </w:p>
                          <w:p w14:paraId="64819C60" w14:textId="77777777" w:rsidR="00B62D9C" w:rsidRDefault="00B62D9C" w:rsidP="00B62D9C">
                            <w:pPr>
                              <w:pStyle w:val="BodyText"/>
                              <w:rPr>
                                <w:rFonts w:eastAsia="Open Sans"/>
                              </w:rPr>
                            </w:pPr>
                          </w:p>
                          <w:p w14:paraId="5B58F5AD" w14:textId="77777777" w:rsidR="00B62D9C" w:rsidRDefault="00B62D9C" w:rsidP="00B62D9C">
                            <w:pPr>
                              <w:pStyle w:val="BodyText"/>
                              <w:rPr>
                                <w:rFonts w:eastAsia="Open Sans"/>
                              </w:rPr>
                            </w:pPr>
                          </w:p>
                          <w:p w14:paraId="7ED5CFC7" w14:textId="77777777" w:rsidR="00B62D9C" w:rsidRDefault="00B62D9C" w:rsidP="00B62D9C">
                            <w:pPr>
                              <w:pStyle w:val="BodyText"/>
                              <w:rPr>
                                <w:rFonts w:eastAsia="Open Sans"/>
                              </w:rPr>
                            </w:pPr>
                          </w:p>
                          <w:p w14:paraId="6B90EEA4" w14:textId="77777777" w:rsidR="00B62D9C" w:rsidRDefault="00B62D9C" w:rsidP="00B62D9C">
                            <w:pPr>
                              <w:pStyle w:val="BodyText"/>
                              <w:rPr>
                                <w:rFonts w:eastAsia="Open Sans"/>
                              </w:rPr>
                            </w:pPr>
                          </w:p>
                          <w:p w14:paraId="321FF267" w14:textId="77777777" w:rsidR="00B62D9C" w:rsidRDefault="00B62D9C" w:rsidP="00B62D9C">
                            <w:pPr>
                              <w:pStyle w:val="BodyText"/>
                              <w:rPr>
                                <w:rFonts w:eastAsia="Open Sans"/>
                              </w:rPr>
                            </w:pPr>
                          </w:p>
                          <w:p w14:paraId="0EA337C2" w14:textId="77777777" w:rsidR="00B62D9C" w:rsidRDefault="00B62D9C" w:rsidP="00B62D9C">
                            <w:pPr>
                              <w:pStyle w:val="BodyText"/>
                              <w:rPr>
                                <w:rFonts w:eastAsia="Open Sans"/>
                              </w:rPr>
                            </w:pPr>
                          </w:p>
                          <w:p w14:paraId="269EB4E4" w14:textId="77777777" w:rsidR="00B62D9C" w:rsidRDefault="00B62D9C" w:rsidP="00B62D9C">
                            <w:pPr>
                              <w:pStyle w:val="BodyText"/>
                              <w:rPr>
                                <w:rFonts w:eastAsia="Open Sans"/>
                              </w:rPr>
                            </w:pPr>
                          </w:p>
                          <w:p w14:paraId="318E5723" w14:textId="77777777" w:rsidR="00B62D9C" w:rsidRDefault="00B62D9C" w:rsidP="00B62D9C">
                            <w:pPr>
                              <w:pStyle w:val="BodyText"/>
                              <w:rPr>
                                <w:rFonts w:eastAsia="Open Sans"/>
                              </w:rPr>
                            </w:pPr>
                          </w:p>
                          <w:p w14:paraId="3CB1980E" w14:textId="77777777" w:rsidR="00B62D9C" w:rsidRDefault="00B62D9C" w:rsidP="00B62D9C">
                            <w:pPr>
                              <w:pStyle w:val="BodyText"/>
                              <w:rPr>
                                <w:rFonts w:eastAsia="Open Sans"/>
                              </w:rPr>
                            </w:pPr>
                          </w:p>
                          <w:p w14:paraId="04232FB9" w14:textId="77777777" w:rsidR="00B62D9C" w:rsidRDefault="00B62D9C" w:rsidP="00B62D9C">
                            <w:pPr>
                              <w:pStyle w:val="BodyText"/>
                              <w:rPr>
                                <w:rFonts w:eastAsia="Open Sans"/>
                              </w:rPr>
                            </w:pPr>
                          </w:p>
                          <w:p w14:paraId="54EA8F7E" w14:textId="77777777" w:rsidR="00B62D9C" w:rsidRDefault="00B62D9C" w:rsidP="00B62D9C">
                            <w:pPr>
                              <w:pStyle w:val="BodyText"/>
                              <w:rPr>
                                <w:rFonts w:eastAsia="Open Sans"/>
                              </w:rPr>
                            </w:pPr>
                          </w:p>
                          <w:p w14:paraId="458FB2F5" w14:textId="77777777" w:rsidR="00B62D9C" w:rsidRDefault="00B62D9C" w:rsidP="00B62D9C">
                            <w:pPr>
                              <w:pStyle w:val="BodyText"/>
                              <w:rPr>
                                <w:rFonts w:eastAsia="Open Sans"/>
                              </w:rPr>
                            </w:pPr>
                          </w:p>
                          <w:p w14:paraId="34D14735" w14:textId="77777777" w:rsidR="00B62D9C" w:rsidRDefault="00B62D9C" w:rsidP="00B62D9C">
                            <w:pPr>
                              <w:pStyle w:val="BodyText"/>
                              <w:rPr>
                                <w:rFonts w:eastAsia="Open Sans"/>
                              </w:rPr>
                            </w:pPr>
                          </w:p>
                          <w:p w14:paraId="5BA58CCD" w14:textId="77777777" w:rsidR="00B62D9C" w:rsidRDefault="00B62D9C" w:rsidP="00B62D9C">
                            <w:pPr>
                              <w:pStyle w:val="BodyText"/>
                              <w:rPr>
                                <w:rFonts w:eastAsia="Open Sans"/>
                              </w:rPr>
                            </w:pPr>
                          </w:p>
                          <w:p w14:paraId="7917786D" w14:textId="77777777" w:rsidR="00B62D9C" w:rsidRDefault="00B62D9C" w:rsidP="00B62D9C">
                            <w:pPr>
                              <w:pStyle w:val="BodyText"/>
                              <w:rPr>
                                <w:rFonts w:eastAsia="Open Sans"/>
                              </w:rPr>
                            </w:pPr>
                          </w:p>
                          <w:p w14:paraId="1473D347" w14:textId="77777777" w:rsidR="00B62D9C" w:rsidRDefault="00B62D9C" w:rsidP="00B62D9C">
                            <w:pPr>
                              <w:pStyle w:val="BodyText"/>
                              <w:rPr>
                                <w:rFonts w:eastAsia="Open Sans"/>
                              </w:rPr>
                            </w:pPr>
                          </w:p>
                          <w:p w14:paraId="3A7D1100" w14:textId="77777777" w:rsidR="00B62D9C" w:rsidRDefault="00B62D9C" w:rsidP="00B62D9C">
                            <w:pPr>
                              <w:pStyle w:val="BodyText"/>
                              <w:rPr>
                                <w:rFonts w:eastAsia="Open Sans"/>
                              </w:rPr>
                            </w:pPr>
                          </w:p>
                          <w:p w14:paraId="6B020E68" w14:textId="77777777" w:rsidR="00B62D9C" w:rsidRDefault="00B62D9C" w:rsidP="00B62D9C">
                            <w:pPr>
                              <w:pStyle w:val="BodyText"/>
                              <w:rPr>
                                <w:rFonts w:eastAsia="Open Sans"/>
                              </w:rPr>
                            </w:pPr>
                          </w:p>
                          <w:p w14:paraId="48EF8AB7" w14:textId="77777777" w:rsidR="00B62D9C" w:rsidRDefault="00B62D9C" w:rsidP="00B62D9C">
                            <w:pPr>
                              <w:pStyle w:val="BodyText"/>
                              <w:rPr>
                                <w:rFonts w:eastAsia="Open Sans"/>
                              </w:rPr>
                            </w:pPr>
                          </w:p>
                          <w:p w14:paraId="28A96DB7" w14:textId="77777777" w:rsidR="00B62D9C" w:rsidRDefault="00B62D9C" w:rsidP="00B62D9C">
                            <w:pPr>
                              <w:pStyle w:val="BodyText"/>
                              <w:rPr>
                                <w:rFonts w:eastAsia="Open Sans"/>
                              </w:rPr>
                            </w:pPr>
                          </w:p>
                          <w:p w14:paraId="06E2DA27" w14:textId="77777777" w:rsidR="00B62D9C" w:rsidRDefault="00B62D9C" w:rsidP="00B62D9C">
                            <w:pPr>
                              <w:pStyle w:val="BodyText"/>
                              <w:rPr>
                                <w:rFonts w:eastAsia="Open Sans"/>
                              </w:rPr>
                            </w:pPr>
                          </w:p>
                          <w:p w14:paraId="47D7C762" w14:textId="77777777" w:rsidR="00B62D9C" w:rsidRDefault="00B62D9C" w:rsidP="00B62D9C">
                            <w:pPr>
                              <w:pStyle w:val="BodyText"/>
                              <w:rPr>
                                <w:rFonts w:eastAsia="Open Sans"/>
                              </w:rPr>
                            </w:pPr>
                          </w:p>
                          <w:p w14:paraId="3C08E3CD" w14:textId="77777777" w:rsidR="00B62D9C" w:rsidRDefault="00B62D9C" w:rsidP="00B62D9C">
                            <w:pPr>
                              <w:pStyle w:val="BodyText"/>
                              <w:rPr>
                                <w:rFonts w:eastAsia="Open Sans"/>
                              </w:rPr>
                            </w:pPr>
                          </w:p>
                          <w:p w14:paraId="3C180A36" w14:textId="77777777" w:rsidR="00B62D9C" w:rsidRDefault="00B62D9C" w:rsidP="00B62D9C">
                            <w:pPr>
                              <w:pStyle w:val="BodyText"/>
                              <w:rPr>
                                <w:rFonts w:eastAsia="Open Sans"/>
                              </w:rPr>
                            </w:pPr>
                          </w:p>
                          <w:p w14:paraId="014C9230" w14:textId="77777777" w:rsidR="00B62D9C" w:rsidRDefault="00B62D9C" w:rsidP="00B62D9C">
                            <w:pPr>
                              <w:pStyle w:val="BodyText"/>
                              <w:rPr>
                                <w:rFonts w:eastAsia="Open Sans"/>
                              </w:rPr>
                            </w:pPr>
                          </w:p>
                          <w:p w14:paraId="7190E35F" w14:textId="77777777" w:rsidR="00B62D9C" w:rsidRDefault="00B62D9C" w:rsidP="00B62D9C">
                            <w:pPr>
                              <w:pStyle w:val="BodyText"/>
                              <w:rPr>
                                <w:rFonts w:eastAsia="Open Sans"/>
                              </w:rPr>
                            </w:pPr>
                          </w:p>
                          <w:p w14:paraId="5E6FAC98" w14:textId="77777777" w:rsidR="00B62D9C" w:rsidRDefault="00B62D9C" w:rsidP="00B62D9C">
                            <w:pPr>
                              <w:pStyle w:val="BodyText"/>
                              <w:rPr>
                                <w:rFonts w:eastAsia="Open Sans"/>
                              </w:rPr>
                            </w:pPr>
                          </w:p>
                          <w:p w14:paraId="7D3D3CF9" w14:textId="77777777" w:rsidR="00B62D9C" w:rsidRDefault="00B62D9C" w:rsidP="00B62D9C">
                            <w:pPr>
                              <w:pStyle w:val="BodyText"/>
                              <w:rPr>
                                <w:rFonts w:eastAsia="Open Sans"/>
                              </w:rPr>
                            </w:pPr>
                          </w:p>
                          <w:p w14:paraId="31592308" w14:textId="77777777" w:rsidR="00B62D9C" w:rsidRDefault="00B62D9C" w:rsidP="00B62D9C">
                            <w:pPr>
                              <w:pStyle w:val="BodyText"/>
                              <w:rPr>
                                <w:rFonts w:eastAsia="Open Sans"/>
                              </w:rPr>
                            </w:pPr>
                          </w:p>
                          <w:p w14:paraId="43A1A613" w14:textId="77777777" w:rsidR="00B62D9C" w:rsidRDefault="00B62D9C" w:rsidP="00B62D9C">
                            <w:pPr>
                              <w:pStyle w:val="BodyText"/>
                              <w:rPr>
                                <w:rFonts w:eastAsia="Open Sans"/>
                              </w:rPr>
                            </w:pPr>
                          </w:p>
                          <w:p w14:paraId="2B6CFB46" w14:textId="77777777" w:rsidR="00B62D9C" w:rsidRDefault="00B62D9C" w:rsidP="00B62D9C">
                            <w:pPr>
                              <w:pStyle w:val="BodyText"/>
                              <w:rPr>
                                <w:rFonts w:eastAsia="Open Sans"/>
                              </w:rPr>
                            </w:pPr>
                          </w:p>
                          <w:p w14:paraId="0EF07424" w14:textId="77777777" w:rsidR="00B62D9C" w:rsidRDefault="00B62D9C" w:rsidP="00B62D9C">
                            <w:pPr>
                              <w:pStyle w:val="BodyText"/>
                              <w:rPr>
                                <w:rFonts w:eastAsia="Open Sans"/>
                              </w:rPr>
                            </w:pPr>
                          </w:p>
                          <w:p w14:paraId="39A43609" w14:textId="77777777" w:rsidR="00B62D9C" w:rsidRDefault="00B62D9C" w:rsidP="00B62D9C">
                            <w:pPr>
                              <w:pStyle w:val="BodyText"/>
                              <w:rPr>
                                <w:rFonts w:eastAsia="Open Sans"/>
                              </w:rPr>
                            </w:pPr>
                          </w:p>
                          <w:p w14:paraId="6BB9D082" w14:textId="77777777" w:rsidR="00B62D9C" w:rsidRDefault="00B62D9C" w:rsidP="00B62D9C">
                            <w:pPr>
                              <w:pStyle w:val="BodyText"/>
                              <w:rPr>
                                <w:rFonts w:eastAsia="Open Sans"/>
                              </w:rPr>
                            </w:pPr>
                          </w:p>
                          <w:p w14:paraId="5280F1E1" w14:textId="77777777" w:rsidR="00B62D9C" w:rsidRDefault="00B62D9C" w:rsidP="00B62D9C">
                            <w:pPr>
                              <w:pStyle w:val="BodyText"/>
                              <w:rPr>
                                <w:rFonts w:eastAsia="Open Sans"/>
                              </w:rPr>
                            </w:pPr>
                          </w:p>
                          <w:p w14:paraId="37CC18E2" w14:textId="77777777" w:rsidR="00B62D9C" w:rsidRDefault="00B62D9C" w:rsidP="00B62D9C">
                            <w:pPr>
                              <w:pStyle w:val="BodyText"/>
                              <w:rPr>
                                <w:rFonts w:eastAsia="Open Sans"/>
                              </w:rPr>
                            </w:pPr>
                          </w:p>
                          <w:p w14:paraId="2BE36F45" w14:textId="77777777" w:rsidR="00B62D9C" w:rsidRDefault="00B62D9C" w:rsidP="00B62D9C">
                            <w:pPr>
                              <w:pStyle w:val="BodyText"/>
                              <w:rPr>
                                <w:rFonts w:eastAsia="Open Sans"/>
                              </w:rPr>
                            </w:pPr>
                          </w:p>
                          <w:p w14:paraId="4F306363" w14:textId="77777777" w:rsidR="00B62D9C" w:rsidRDefault="00B62D9C" w:rsidP="00B62D9C">
                            <w:pPr>
                              <w:pStyle w:val="BodyText"/>
                              <w:rPr>
                                <w:rFonts w:eastAsia="Open Sans"/>
                              </w:rPr>
                            </w:pPr>
                          </w:p>
                          <w:p w14:paraId="0E61A515" w14:textId="77777777" w:rsidR="00B62D9C" w:rsidRDefault="00B62D9C" w:rsidP="00B62D9C">
                            <w:pPr>
                              <w:pStyle w:val="BodyText"/>
                              <w:rPr>
                                <w:rFonts w:eastAsia="Open Sans"/>
                              </w:rPr>
                            </w:pPr>
                          </w:p>
                          <w:p w14:paraId="5306E17B" w14:textId="77777777" w:rsidR="00B62D9C" w:rsidRDefault="00B62D9C" w:rsidP="00B62D9C">
                            <w:pPr>
                              <w:pStyle w:val="BodyText"/>
                              <w:rPr>
                                <w:rFonts w:eastAsia="Open Sans"/>
                              </w:rPr>
                            </w:pPr>
                          </w:p>
                          <w:p w14:paraId="4A051721" w14:textId="77777777" w:rsidR="00B62D9C" w:rsidRDefault="00B62D9C" w:rsidP="00B62D9C">
                            <w:pPr>
                              <w:pStyle w:val="BodyText"/>
                              <w:rPr>
                                <w:rFonts w:eastAsia="Open Sans"/>
                              </w:rPr>
                            </w:pPr>
                          </w:p>
                          <w:p w14:paraId="405538F6" w14:textId="77777777" w:rsidR="00B62D9C" w:rsidRDefault="00B62D9C" w:rsidP="00B62D9C">
                            <w:pPr>
                              <w:pStyle w:val="BodyText"/>
                              <w:rPr>
                                <w:rFonts w:eastAsia="Open Sans"/>
                              </w:rPr>
                            </w:pPr>
                          </w:p>
                          <w:p w14:paraId="20770565" w14:textId="77777777" w:rsidR="00B62D9C" w:rsidRDefault="00B62D9C" w:rsidP="00B62D9C">
                            <w:pPr>
                              <w:pStyle w:val="BodyText"/>
                              <w:rPr>
                                <w:rFonts w:eastAsia="Open Sans"/>
                              </w:rPr>
                            </w:pPr>
                          </w:p>
                          <w:p w14:paraId="1116A6DF" w14:textId="77777777" w:rsidR="00B62D9C" w:rsidRDefault="00B62D9C" w:rsidP="00B62D9C">
                            <w:pPr>
                              <w:pStyle w:val="BodyText"/>
                              <w:rPr>
                                <w:rFonts w:eastAsia="Open Sans"/>
                              </w:rPr>
                            </w:pPr>
                          </w:p>
                          <w:p w14:paraId="2D0C6ED0" w14:textId="77777777" w:rsidR="00B62D9C" w:rsidRDefault="00B62D9C" w:rsidP="00B62D9C">
                            <w:pPr>
                              <w:pStyle w:val="BodyText"/>
                              <w:rPr>
                                <w:rFonts w:eastAsia="Open Sans"/>
                              </w:rPr>
                            </w:pPr>
                          </w:p>
                          <w:p w14:paraId="5103E512" w14:textId="77777777" w:rsidR="00B62D9C" w:rsidRDefault="00B62D9C" w:rsidP="00B62D9C">
                            <w:pPr>
                              <w:pStyle w:val="BodyText"/>
                              <w:rPr>
                                <w:rFonts w:eastAsia="Open Sans"/>
                              </w:rPr>
                            </w:pPr>
                          </w:p>
                          <w:p w14:paraId="1D77D6A2" w14:textId="77777777" w:rsidR="00B62D9C" w:rsidRDefault="00B62D9C" w:rsidP="00B62D9C">
                            <w:pPr>
                              <w:pStyle w:val="BodyText"/>
                              <w:rPr>
                                <w:rFonts w:eastAsia="Open Sans"/>
                              </w:rPr>
                            </w:pPr>
                          </w:p>
                          <w:p w14:paraId="1971B854" w14:textId="77777777" w:rsidR="00B62D9C" w:rsidRDefault="00B62D9C" w:rsidP="00B62D9C">
                            <w:pPr>
                              <w:pStyle w:val="BodyText"/>
                              <w:rPr>
                                <w:rFonts w:eastAsia="Open Sans"/>
                              </w:rPr>
                            </w:pPr>
                          </w:p>
                          <w:p w14:paraId="3AB94030" w14:textId="77777777" w:rsidR="00B62D9C" w:rsidRDefault="00B62D9C" w:rsidP="00B62D9C">
                            <w:pPr>
                              <w:pStyle w:val="BodyText"/>
                              <w:rPr>
                                <w:rFonts w:eastAsia="Open Sans"/>
                              </w:rPr>
                            </w:pPr>
                          </w:p>
                          <w:p w14:paraId="6FE04AD3" w14:textId="77777777" w:rsidR="00B62D9C" w:rsidRDefault="00B62D9C" w:rsidP="00B62D9C">
                            <w:pPr>
                              <w:pStyle w:val="BodyText"/>
                              <w:rPr>
                                <w:rFonts w:eastAsia="Open Sans"/>
                              </w:rPr>
                            </w:pPr>
                          </w:p>
                          <w:p w14:paraId="0AA3753F" w14:textId="77777777" w:rsidR="00B62D9C" w:rsidRDefault="00B62D9C" w:rsidP="00B62D9C">
                            <w:pPr>
                              <w:pStyle w:val="BodyText"/>
                              <w:rPr>
                                <w:rFonts w:eastAsia="Open Sans"/>
                              </w:rPr>
                            </w:pPr>
                          </w:p>
                          <w:p w14:paraId="3BD59747" w14:textId="77777777" w:rsidR="00B62D9C" w:rsidRDefault="00B62D9C" w:rsidP="00B62D9C">
                            <w:pPr>
                              <w:pStyle w:val="BodyText"/>
                              <w:rPr>
                                <w:rFonts w:eastAsia="Open Sans"/>
                              </w:rPr>
                            </w:pPr>
                          </w:p>
                          <w:p w14:paraId="0C194AC6" w14:textId="77777777" w:rsidR="00B62D9C" w:rsidRDefault="00B62D9C" w:rsidP="00B62D9C">
                            <w:pPr>
                              <w:pStyle w:val="BodyText"/>
                              <w:rPr>
                                <w:rFonts w:eastAsia="Open Sans"/>
                              </w:rPr>
                            </w:pPr>
                          </w:p>
                          <w:p w14:paraId="41564873" w14:textId="77777777" w:rsidR="00B62D9C" w:rsidRDefault="00B62D9C" w:rsidP="00B62D9C">
                            <w:pPr>
                              <w:pStyle w:val="BodyText"/>
                              <w:rPr>
                                <w:rFonts w:eastAsia="Open Sans"/>
                              </w:rPr>
                            </w:pPr>
                          </w:p>
                          <w:p w14:paraId="2626384C" w14:textId="77777777" w:rsidR="00B62D9C" w:rsidRDefault="00B62D9C" w:rsidP="00B62D9C">
                            <w:pPr>
                              <w:pStyle w:val="BodyText"/>
                              <w:rPr>
                                <w:rFonts w:eastAsia="Open Sans"/>
                              </w:rPr>
                            </w:pPr>
                          </w:p>
                          <w:p w14:paraId="234A9141" w14:textId="77777777" w:rsidR="00B62D9C" w:rsidRDefault="00B62D9C" w:rsidP="00B62D9C">
                            <w:pPr>
                              <w:pStyle w:val="BodyText"/>
                              <w:rPr>
                                <w:rFonts w:eastAsia="Open Sans"/>
                              </w:rPr>
                            </w:pPr>
                          </w:p>
                          <w:p w14:paraId="7EB335B0" w14:textId="77777777" w:rsidR="00B62D9C" w:rsidRDefault="00B62D9C" w:rsidP="00B62D9C">
                            <w:pPr>
                              <w:pStyle w:val="BodyText"/>
                              <w:rPr>
                                <w:rFonts w:eastAsia="Open Sans"/>
                              </w:rPr>
                            </w:pPr>
                          </w:p>
                          <w:p w14:paraId="3C1FA14A" w14:textId="77777777" w:rsidR="00B62D9C" w:rsidRDefault="00B62D9C" w:rsidP="00B62D9C">
                            <w:pPr>
                              <w:pStyle w:val="BodyText"/>
                              <w:rPr>
                                <w:rFonts w:eastAsia="Open Sans"/>
                              </w:rPr>
                            </w:pPr>
                          </w:p>
                          <w:p w14:paraId="247B7391" w14:textId="77777777" w:rsidR="00B62D9C" w:rsidRDefault="00B62D9C" w:rsidP="00B62D9C">
                            <w:pPr>
                              <w:pStyle w:val="BodyText"/>
                              <w:rPr>
                                <w:rFonts w:eastAsia="Open Sans"/>
                              </w:rPr>
                            </w:pPr>
                          </w:p>
                          <w:p w14:paraId="2F0D59CB" w14:textId="77777777" w:rsidR="00B62D9C" w:rsidRDefault="00B62D9C" w:rsidP="00B62D9C">
                            <w:pPr>
                              <w:pStyle w:val="BodyText"/>
                              <w:rPr>
                                <w:rFonts w:eastAsia="Open Sans"/>
                              </w:rPr>
                            </w:pPr>
                          </w:p>
                          <w:p w14:paraId="2E3A8B9A" w14:textId="77777777" w:rsidR="00B62D9C" w:rsidRDefault="00B62D9C" w:rsidP="00B62D9C">
                            <w:pPr>
                              <w:pStyle w:val="BodyText"/>
                              <w:rPr>
                                <w:rFonts w:eastAsia="Open Sans"/>
                              </w:rPr>
                            </w:pPr>
                          </w:p>
                          <w:p w14:paraId="170A5808" w14:textId="77777777" w:rsidR="00B62D9C" w:rsidRDefault="00B62D9C" w:rsidP="00B62D9C">
                            <w:pPr>
                              <w:pStyle w:val="BodyText"/>
                              <w:rPr>
                                <w:rFonts w:eastAsia="Open Sans"/>
                              </w:rPr>
                            </w:pPr>
                          </w:p>
                          <w:p w14:paraId="02DFF085" w14:textId="77777777" w:rsidR="00B62D9C" w:rsidRDefault="00B62D9C" w:rsidP="00B62D9C">
                            <w:pPr>
                              <w:pStyle w:val="BodyText"/>
                              <w:rPr>
                                <w:rFonts w:eastAsia="Open Sans"/>
                              </w:rPr>
                            </w:pPr>
                          </w:p>
                          <w:p w14:paraId="641AC7FA" w14:textId="77777777" w:rsidR="00B62D9C" w:rsidRDefault="00B62D9C" w:rsidP="00B62D9C">
                            <w:pPr>
                              <w:pStyle w:val="BodyText"/>
                              <w:rPr>
                                <w:rFonts w:eastAsia="Open Sans"/>
                              </w:rPr>
                            </w:pPr>
                          </w:p>
                          <w:p w14:paraId="72769B5C" w14:textId="77777777" w:rsidR="00B62D9C" w:rsidRDefault="00B62D9C" w:rsidP="00B62D9C">
                            <w:pPr>
                              <w:pStyle w:val="BodyText"/>
                              <w:rPr>
                                <w:rFonts w:eastAsia="Open Sans"/>
                              </w:rPr>
                            </w:pPr>
                          </w:p>
                          <w:p w14:paraId="4B330B96" w14:textId="77777777" w:rsidR="00B62D9C" w:rsidRDefault="00B62D9C" w:rsidP="00B62D9C">
                            <w:pPr>
                              <w:pStyle w:val="BodyText"/>
                              <w:rPr>
                                <w:rFonts w:eastAsia="Open Sans"/>
                              </w:rPr>
                            </w:pPr>
                          </w:p>
                          <w:p w14:paraId="00505A61" w14:textId="77777777" w:rsidR="00B62D9C" w:rsidRDefault="00B62D9C" w:rsidP="00B62D9C">
                            <w:pPr>
                              <w:pStyle w:val="BodyText"/>
                              <w:rPr>
                                <w:rFonts w:eastAsia="Open Sans"/>
                              </w:rPr>
                            </w:pPr>
                          </w:p>
                          <w:p w14:paraId="25A7E965" w14:textId="77777777" w:rsidR="00B62D9C" w:rsidRDefault="00B62D9C" w:rsidP="00B62D9C">
                            <w:pPr>
                              <w:pStyle w:val="BodyText"/>
                              <w:rPr>
                                <w:rFonts w:eastAsia="Open Sans"/>
                              </w:rPr>
                            </w:pPr>
                          </w:p>
                          <w:p w14:paraId="35B19D56" w14:textId="77777777" w:rsidR="00B62D9C" w:rsidRDefault="00B62D9C" w:rsidP="00B62D9C">
                            <w:pPr>
                              <w:pStyle w:val="BodyText"/>
                              <w:rPr>
                                <w:rFonts w:eastAsia="Open Sans"/>
                              </w:rPr>
                            </w:pPr>
                          </w:p>
                          <w:p w14:paraId="79EDC5B4" w14:textId="77777777" w:rsidR="00B62D9C" w:rsidRDefault="00B62D9C" w:rsidP="00B62D9C">
                            <w:pPr>
                              <w:pStyle w:val="BodyText"/>
                              <w:rPr>
                                <w:rFonts w:eastAsia="Open Sans"/>
                              </w:rPr>
                            </w:pPr>
                          </w:p>
                          <w:p w14:paraId="31C685F3" w14:textId="77777777" w:rsidR="00B62D9C" w:rsidRDefault="00B62D9C" w:rsidP="00B62D9C">
                            <w:pPr>
                              <w:pStyle w:val="BodyText"/>
                              <w:rPr>
                                <w:rFonts w:eastAsia="Open Sans"/>
                              </w:rPr>
                            </w:pPr>
                          </w:p>
                          <w:p w14:paraId="280D82FC" w14:textId="77777777" w:rsidR="00B62D9C" w:rsidRDefault="00B62D9C" w:rsidP="00B62D9C">
                            <w:pPr>
                              <w:pStyle w:val="BodyText"/>
                              <w:rPr>
                                <w:rFonts w:eastAsia="Open Sans"/>
                              </w:rPr>
                            </w:pPr>
                          </w:p>
                          <w:p w14:paraId="2966D0DE" w14:textId="77777777" w:rsidR="00B62D9C" w:rsidRDefault="00B62D9C" w:rsidP="00B62D9C">
                            <w:pPr>
                              <w:pStyle w:val="BodyText"/>
                              <w:rPr>
                                <w:rFonts w:eastAsia="Open Sans"/>
                              </w:rPr>
                            </w:pPr>
                          </w:p>
                          <w:p w14:paraId="6867ADE3" w14:textId="77777777" w:rsidR="00B62D9C" w:rsidRDefault="00B62D9C" w:rsidP="00B62D9C">
                            <w:pPr>
                              <w:pStyle w:val="BodyText"/>
                              <w:rPr>
                                <w:rFonts w:eastAsia="Open Sans"/>
                              </w:rPr>
                            </w:pPr>
                          </w:p>
                          <w:p w14:paraId="6C86C41D" w14:textId="77777777" w:rsidR="00B62D9C" w:rsidRDefault="00B62D9C" w:rsidP="00B62D9C">
                            <w:pPr>
                              <w:pStyle w:val="BodyText"/>
                              <w:rPr>
                                <w:rFonts w:eastAsia="Open Sans"/>
                              </w:rPr>
                            </w:pPr>
                          </w:p>
                          <w:p w14:paraId="091E86E6" w14:textId="77777777" w:rsidR="00B62D9C" w:rsidRDefault="00B62D9C" w:rsidP="00B62D9C">
                            <w:pPr>
                              <w:pStyle w:val="BodyText"/>
                              <w:rPr>
                                <w:rFonts w:eastAsia="Open Sans"/>
                              </w:rPr>
                            </w:pPr>
                          </w:p>
                          <w:p w14:paraId="7329CA7E" w14:textId="77777777" w:rsidR="00B62D9C" w:rsidRDefault="00B62D9C" w:rsidP="00B62D9C">
                            <w:pPr>
                              <w:pStyle w:val="BodyText"/>
                              <w:rPr>
                                <w:rFonts w:eastAsia="Open Sans"/>
                              </w:rPr>
                            </w:pPr>
                          </w:p>
                          <w:p w14:paraId="254A32AB" w14:textId="77777777" w:rsidR="00B62D9C" w:rsidRPr="007A7BD1" w:rsidRDefault="00B62D9C" w:rsidP="00B62D9C">
                            <w:pPr>
                              <w:pStyle w:val="BodyText"/>
                              <w:rPr>
                                <w:rFonts w:eastAsia="Open Sans"/>
                              </w:rPr>
                            </w:pPr>
                          </w:p>
                        </w:txbxContent>
                      </wps:txbx>
                      <wps:bodyPr wrap="square" lIns="0" tIns="0" rIns="0" bIns="0" rtlCol="0">
                        <a:noAutofit/>
                      </wps:bodyPr>
                    </wps:wsp>
                  </a:graphicData>
                </a:graphic>
              </wp:inline>
            </w:drawing>
          </mc:Choice>
          <mc:Fallback>
            <w:pict>
              <v:shape w14:anchorId="094FF16C" id="_x0000_s1062" type="#_x0000_t202" style="width:454.5pt;height: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" filled="f" strokecolor="#039" strokeweight="1pt">
                <v:path arrowok="t"/>
                <v:textbox inset="0,0,0,0">
                  <w:txbxContent>
                    <w:p w14:paraId="1D3C4260" w14:textId="77777777" w:rsidR="00B62D9C" w:rsidRPr="006A3637" w:rsidRDefault="00B62D9C" w:rsidP="00B62D9C">
                      <w:pPr>
                        <w:pStyle w:val="BodyText"/>
                        <w:rPr>
                          <w:rFonts w:ascii="Open Sans ExtraBold" w:eastAsiaTheme="minorHAnsi" w:hAnsiTheme="minorHAnsi" w:cstheme="minorBidi"/>
                          <w:b/>
                          <w:color w:val="003399"/>
                          <w:spacing w:val="-2"/>
                          <w:sz w:val="24"/>
                          <w:szCs w:val="28"/>
                          <w:lang w:eastAsia="en-US"/>
                        </w:rPr>
                      </w:pPr>
                      <w:r w:rsidRPr="006A3637">
                        <w:rPr>
                          <w:rFonts w:ascii="Open Sans ExtraBold" w:eastAsiaTheme="minorHAnsi" w:hAnsiTheme="minorHAnsi" w:cstheme="minorBidi"/>
                          <w:b/>
                          <w:color w:val="003399"/>
                          <w:spacing w:val="-2"/>
                          <w:sz w:val="24"/>
                          <w:szCs w:val="28"/>
                          <w:lang w:eastAsia="en-US"/>
                        </w:rPr>
                        <w:t xml:space="preserve">NB: </w:t>
                      </w:r>
                    </w:p>
                    <w:p w14:paraId="2BCB0D81" w14:textId="77777777" w:rsidR="00B62D9C" w:rsidRPr="006A3637" w:rsidRDefault="00B62D9C" w:rsidP="00B62D9C">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Failure to comply with these rules constitutes irregularity or fraud!</w:t>
                      </w:r>
                    </w:p>
                    <w:p w14:paraId="27D1E349" w14:textId="77777777" w:rsidR="00B62D9C" w:rsidRDefault="00B62D9C" w:rsidP="00B62D9C">
                      <w:pPr>
                        <w:pStyle w:val="BodyText"/>
                        <w:rPr>
                          <w:rFonts w:eastAsia="Open Sans"/>
                        </w:rPr>
                      </w:pPr>
                    </w:p>
                    <w:p w14:paraId="3A091DB2" w14:textId="77777777" w:rsidR="00B62D9C" w:rsidRDefault="00B62D9C" w:rsidP="00B62D9C">
                      <w:pPr>
                        <w:pStyle w:val="BodyText"/>
                        <w:rPr>
                          <w:rFonts w:eastAsia="Open Sans"/>
                        </w:rPr>
                      </w:pPr>
                    </w:p>
                    <w:p w14:paraId="0AC4F5A8" w14:textId="77777777" w:rsidR="00B62D9C" w:rsidRDefault="00B62D9C" w:rsidP="00B62D9C">
                      <w:pPr>
                        <w:pStyle w:val="BodyText"/>
                        <w:rPr>
                          <w:rFonts w:eastAsia="Open Sans"/>
                        </w:rPr>
                      </w:pPr>
                    </w:p>
                    <w:p w14:paraId="4110E627" w14:textId="77777777" w:rsidR="00B62D9C" w:rsidRDefault="00B62D9C" w:rsidP="00B62D9C">
                      <w:pPr>
                        <w:pStyle w:val="BodyText"/>
                        <w:rPr>
                          <w:rFonts w:eastAsia="Open Sans"/>
                        </w:rPr>
                      </w:pPr>
                    </w:p>
                    <w:p w14:paraId="405A41E1" w14:textId="77777777" w:rsidR="00B62D9C" w:rsidRDefault="00B62D9C" w:rsidP="00B62D9C">
                      <w:pPr>
                        <w:pStyle w:val="BodyText"/>
                        <w:rPr>
                          <w:rFonts w:eastAsia="Open Sans"/>
                        </w:rPr>
                      </w:pPr>
                    </w:p>
                    <w:p w14:paraId="619E3B2A" w14:textId="77777777" w:rsidR="00B62D9C" w:rsidRDefault="00B62D9C" w:rsidP="00B62D9C">
                      <w:pPr>
                        <w:pStyle w:val="BodyText"/>
                        <w:rPr>
                          <w:rFonts w:eastAsia="Open Sans"/>
                        </w:rPr>
                      </w:pPr>
                    </w:p>
                    <w:p w14:paraId="0E509FB7" w14:textId="77777777" w:rsidR="00B62D9C" w:rsidRDefault="00B62D9C" w:rsidP="00B62D9C">
                      <w:pPr>
                        <w:pStyle w:val="BodyText"/>
                        <w:rPr>
                          <w:rFonts w:eastAsia="Open Sans"/>
                        </w:rPr>
                      </w:pPr>
                    </w:p>
                    <w:p w14:paraId="460BE0B5" w14:textId="77777777" w:rsidR="00B62D9C" w:rsidRDefault="00B62D9C" w:rsidP="00B62D9C">
                      <w:pPr>
                        <w:pStyle w:val="BodyText"/>
                        <w:rPr>
                          <w:rFonts w:eastAsia="Open Sans"/>
                        </w:rPr>
                      </w:pPr>
                    </w:p>
                    <w:p w14:paraId="50B8668E" w14:textId="77777777" w:rsidR="00B62D9C" w:rsidRDefault="00B62D9C" w:rsidP="00B62D9C">
                      <w:pPr>
                        <w:pStyle w:val="BodyText"/>
                        <w:rPr>
                          <w:rFonts w:eastAsia="Open Sans"/>
                        </w:rPr>
                      </w:pPr>
                    </w:p>
                    <w:p w14:paraId="4D433784" w14:textId="77777777" w:rsidR="00B62D9C" w:rsidRDefault="00B62D9C" w:rsidP="00B62D9C">
                      <w:pPr>
                        <w:pStyle w:val="BodyText"/>
                        <w:rPr>
                          <w:rFonts w:eastAsia="Open Sans"/>
                        </w:rPr>
                      </w:pPr>
                    </w:p>
                    <w:p w14:paraId="26B5AC4E" w14:textId="77777777" w:rsidR="00B62D9C" w:rsidRDefault="00B62D9C" w:rsidP="00B62D9C">
                      <w:pPr>
                        <w:pStyle w:val="BodyText"/>
                        <w:rPr>
                          <w:rFonts w:eastAsia="Open Sans"/>
                        </w:rPr>
                      </w:pPr>
                    </w:p>
                    <w:p w14:paraId="229FEEA6" w14:textId="77777777" w:rsidR="00B62D9C" w:rsidRDefault="00B62D9C" w:rsidP="00B62D9C">
                      <w:pPr>
                        <w:pStyle w:val="BodyText"/>
                        <w:rPr>
                          <w:rFonts w:eastAsia="Open Sans"/>
                        </w:rPr>
                      </w:pPr>
                    </w:p>
                    <w:p w14:paraId="6C9326A0" w14:textId="77777777" w:rsidR="00B62D9C" w:rsidRDefault="00B62D9C" w:rsidP="00B62D9C">
                      <w:pPr>
                        <w:pStyle w:val="BodyText"/>
                        <w:rPr>
                          <w:rFonts w:eastAsia="Open Sans"/>
                        </w:rPr>
                      </w:pPr>
                    </w:p>
                    <w:p w14:paraId="643DBD89" w14:textId="77777777" w:rsidR="00B62D9C" w:rsidRDefault="00B62D9C" w:rsidP="00B62D9C">
                      <w:pPr>
                        <w:pStyle w:val="BodyText"/>
                        <w:rPr>
                          <w:rFonts w:eastAsia="Open Sans"/>
                        </w:rPr>
                      </w:pPr>
                    </w:p>
                    <w:p w14:paraId="2F9D22E3" w14:textId="77777777" w:rsidR="00B62D9C" w:rsidRDefault="00B62D9C" w:rsidP="00B62D9C">
                      <w:pPr>
                        <w:pStyle w:val="BodyText"/>
                        <w:rPr>
                          <w:rFonts w:eastAsia="Open Sans"/>
                        </w:rPr>
                      </w:pPr>
                    </w:p>
                    <w:p w14:paraId="3A502A71" w14:textId="77777777" w:rsidR="00B62D9C" w:rsidRDefault="00B62D9C" w:rsidP="00B62D9C">
                      <w:pPr>
                        <w:pStyle w:val="BodyText"/>
                        <w:rPr>
                          <w:rFonts w:eastAsia="Open Sans"/>
                        </w:rPr>
                      </w:pPr>
                    </w:p>
                    <w:p w14:paraId="307911EF" w14:textId="77777777" w:rsidR="00B62D9C" w:rsidRDefault="00B62D9C" w:rsidP="00B62D9C">
                      <w:pPr>
                        <w:pStyle w:val="BodyText"/>
                        <w:rPr>
                          <w:rFonts w:eastAsia="Open Sans"/>
                        </w:rPr>
                      </w:pPr>
                    </w:p>
                    <w:p w14:paraId="2FB1D258" w14:textId="77777777" w:rsidR="00B62D9C" w:rsidRDefault="00B62D9C" w:rsidP="00B62D9C">
                      <w:pPr>
                        <w:pStyle w:val="BodyText"/>
                        <w:rPr>
                          <w:rFonts w:eastAsia="Open Sans"/>
                        </w:rPr>
                      </w:pPr>
                    </w:p>
                    <w:p w14:paraId="53DF4F9C" w14:textId="77777777" w:rsidR="00B62D9C" w:rsidRDefault="00B62D9C" w:rsidP="00B62D9C">
                      <w:pPr>
                        <w:pStyle w:val="BodyText"/>
                        <w:rPr>
                          <w:rFonts w:eastAsia="Open Sans"/>
                        </w:rPr>
                      </w:pPr>
                    </w:p>
                    <w:p w14:paraId="38FE051D" w14:textId="77777777" w:rsidR="00B62D9C" w:rsidRDefault="00B62D9C" w:rsidP="00B62D9C">
                      <w:pPr>
                        <w:pStyle w:val="BodyText"/>
                        <w:rPr>
                          <w:rFonts w:eastAsia="Open Sans"/>
                        </w:rPr>
                      </w:pPr>
                    </w:p>
                    <w:p w14:paraId="04170387" w14:textId="77777777" w:rsidR="00B62D9C" w:rsidRDefault="00B62D9C" w:rsidP="00B62D9C">
                      <w:pPr>
                        <w:pStyle w:val="BodyText"/>
                        <w:rPr>
                          <w:rFonts w:eastAsia="Open Sans"/>
                        </w:rPr>
                      </w:pPr>
                    </w:p>
                    <w:p w14:paraId="01EF0B4B" w14:textId="77777777" w:rsidR="00B62D9C" w:rsidRDefault="00B62D9C" w:rsidP="00B62D9C">
                      <w:pPr>
                        <w:pStyle w:val="BodyText"/>
                        <w:rPr>
                          <w:rFonts w:eastAsia="Open Sans"/>
                        </w:rPr>
                      </w:pPr>
                    </w:p>
                    <w:p w14:paraId="4A90E708" w14:textId="77777777" w:rsidR="00B62D9C" w:rsidRDefault="00B62D9C" w:rsidP="00B62D9C">
                      <w:pPr>
                        <w:pStyle w:val="BodyText"/>
                        <w:rPr>
                          <w:rFonts w:eastAsia="Open Sans"/>
                        </w:rPr>
                      </w:pPr>
                    </w:p>
                    <w:p w14:paraId="33FBECE2" w14:textId="77777777" w:rsidR="00B62D9C" w:rsidRDefault="00B62D9C" w:rsidP="00B62D9C">
                      <w:pPr>
                        <w:pStyle w:val="BodyText"/>
                        <w:rPr>
                          <w:rFonts w:eastAsia="Open Sans"/>
                        </w:rPr>
                      </w:pPr>
                    </w:p>
                    <w:p w14:paraId="62BB75D0" w14:textId="77777777" w:rsidR="00B62D9C" w:rsidRDefault="00B62D9C" w:rsidP="00B62D9C">
                      <w:pPr>
                        <w:pStyle w:val="BodyText"/>
                        <w:rPr>
                          <w:rFonts w:eastAsia="Open Sans"/>
                        </w:rPr>
                      </w:pPr>
                    </w:p>
                    <w:p w14:paraId="4CA392FD" w14:textId="77777777" w:rsidR="00B62D9C" w:rsidRDefault="00B62D9C" w:rsidP="00B62D9C">
                      <w:pPr>
                        <w:pStyle w:val="BodyText"/>
                        <w:rPr>
                          <w:rFonts w:eastAsia="Open Sans"/>
                        </w:rPr>
                      </w:pPr>
                    </w:p>
                    <w:p w14:paraId="3A4AD95D" w14:textId="77777777" w:rsidR="00B62D9C" w:rsidRDefault="00B62D9C" w:rsidP="00B62D9C">
                      <w:pPr>
                        <w:pStyle w:val="BodyText"/>
                        <w:rPr>
                          <w:rFonts w:eastAsia="Open Sans"/>
                        </w:rPr>
                      </w:pPr>
                    </w:p>
                    <w:p w14:paraId="64819C60" w14:textId="77777777" w:rsidR="00B62D9C" w:rsidRDefault="00B62D9C" w:rsidP="00B62D9C">
                      <w:pPr>
                        <w:pStyle w:val="BodyText"/>
                        <w:rPr>
                          <w:rFonts w:eastAsia="Open Sans"/>
                        </w:rPr>
                      </w:pPr>
                    </w:p>
                    <w:p w14:paraId="5B58F5AD" w14:textId="77777777" w:rsidR="00B62D9C" w:rsidRDefault="00B62D9C" w:rsidP="00B62D9C">
                      <w:pPr>
                        <w:pStyle w:val="BodyText"/>
                        <w:rPr>
                          <w:rFonts w:eastAsia="Open Sans"/>
                        </w:rPr>
                      </w:pPr>
                    </w:p>
                    <w:p w14:paraId="7ED5CFC7" w14:textId="77777777" w:rsidR="00B62D9C" w:rsidRDefault="00B62D9C" w:rsidP="00B62D9C">
                      <w:pPr>
                        <w:pStyle w:val="BodyText"/>
                        <w:rPr>
                          <w:rFonts w:eastAsia="Open Sans"/>
                        </w:rPr>
                      </w:pPr>
                    </w:p>
                    <w:p w14:paraId="6B90EEA4" w14:textId="77777777" w:rsidR="00B62D9C" w:rsidRDefault="00B62D9C" w:rsidP="00B62D9C">
                      <w:pPr>
                        <w:pStyle w:val="BodyText"/>
                        <w:rPr>
                          <w:rFonts w:eastAsia="Open Sans"/>
                        </w:rPr>
                      </w:pPr>
                    </w:p>
                    <w:p w14:paraId="321FF267" w14:textId="77777777" w:rsidR="00B62D9C" w:rsidRDefault="00B62D9C" w:rsidP="00B62D9C">
                      <w:pPr>
                        <w:pStyle w:val="BodyText"/>
                        <w:rPr>
                          <w:rFonts w:eastAsia="Open Sans"/>
                        </w:rPr>
                      </w:pPr>
                    </w:p>
                    <w:p w14:paraId="0EA337C2" w14:textId="77777777" w:rsidR="00B62D9C" w:rsidRDefault="00B62D9C" w:rsidP="00B62D9C">
                      <w:pPr>
                        <w:pStyle w:val="BodyText"/>
                        <w:rPr>
                          <w:rFonts w:eastAsia="Open Sans"/>
                        </w:rPr>
                      </w:pPr>
                    </w:p>
                    <w:p w14:paraId="269EB4E4" w14:textId="77777777" w:rsidR="00B62D9C" w:rsidRDefault="00B62D9C" w:rsidP="00B62D9C">
                      <w:pPr>
                        <w:pStyle w:val="BodyText"/>
                        <w:rPr>
                          <w:rFonts w:eastAsia="Open Sans"/>
                        </w:rPr>
                      </w:pPr>
                    </w:p>
                    <w:p w14:paraId="318E5723" w14:textId="77777777" w:rsidR="00B62D9C" w:rsidRDefault="00B62D9C" w:rsidP="00B62D9C">
                      <w:pPr>
                        <w:pStyle w:val="BodyText"/>
                        <w:rPr>
                          <w:rFonts w:eastAsia="Open Sans"/>
                        </w:rPr>
                      </w:pPr>
                    </w:p>
                    <w:p w14:paraId="3CB1980E" w14:textId="77777777" w:rsidR="00B62D9C" w:rsidRDefault="00B62D9C" w:rsidP="00B62D9C">
                      <w:pPr>
                        <w:pStyle w:val="BodyText"/>
                        <w:rPr>
                          <w:rFonts w:eastAsia="Open Sans"/>
                        </w:rPr>
                      </w:pPr>
                    </w:p>
                    <w:p w14:paraId="04232FB9" w14:textId="77777777" w:rsidR="00B62D9C" w:rsidRDefault="00B62D9C" w:rsidP="00B62D9C">
                      <w:pPr>
                        <w:pStyle w:val="BodyText"/>
                        <w:rPr>
                          <w:rFonts w:eastAsia="Open Sans"/>
                        </w:rPr>
                      </w:pPr>
                    </w:p>
                    <w:p w14:paraId="54EA8F7E" w14:textId="77777777" w:rsidR="00B62D9C" w:rsidRDefault="00B62D9C" w:rsidP="00B62D9C">
                      <w:pPr>
                        <w:pStyle w:val="BodyText"/>
                        <w:rPr>
                          <w:rFonts w:eastAsia="Open Sans"/>
                        </w:rPr>
                      </w:pPr>
                    </w:p>
                    <w:p w14:paraId="458FB2F5" w14:textId="77777777" w:rsidR="00B62D9C" w:rsidRDefault="00B62D9C" w:rsidP="00B62D9C">
                      <w:pPr>
                        <w:pStyle w:val="BodyText"/>
                        <w:rPr>
                          <w:rFonts w:eastAsia="Open Sans"/>
                        </w:rPr>
                      </w:pPr>
                    </w:p>
                    <w:p w14:paraId="34D14735" w14:textId="77777777" w:rsidR="00B62D9C" w:rsidRDefault="00B62D9C" w:rsidP="00B62D9C">
                      <w:pPr>
                        <w:pStyle w:val="BodyText"/>
                        <w:rPr>
                          <w:rFonts w:eastAsia="Open Sans"/>
                        </w:rPr>
                      </w:pPr>
                    </w:p>
                    <w:p w14:paraId="5BA58CCD" w14:textId="77777777" w:rsidR="00B62D9C" w:rsidRDefault="00B62D9C" w:rsidP="00B62D9C">
                      <w:pPr>
                        <w:pStyle w:val="BodyText"/>
                        <w:rPr>
                          <w:rFonts w:eastAsia="Open Sans"/>
                        </w:rPr>
                      </w:pPr>
                    </w:p>
                    <w:p w14:paraId="7917786D" w14:textId="77777777" w:rsidR="00B62D9C" w:rsidRDefault="00B62D9C" w:rsidP="00B62D9C">
                      <w:pPr>
                        <w:pStyle w:val="BodyText"/>
                        <w:rPr>
                          <w:rFonts w:eastAsia="Open Sans"/>
                        </w:rPr>
                      </w:pPr>
                    </w:p>
                    <w:p w14:paraId="1473D347" w14:textId="77777777" w:rsidR="00B62D9C" w:rsidRDefault="00B62D9C" w:rsidP="00B62D9C">
                      <w:pPr>
                        <w:pStyle w:val="BodyText"/>
                        <w:rPr>
                          <w:rFonts w:eastAsia="Open Sans"/>
                        </w:rPr>
                      </w:pPr>
                    </w:p>
                    <w:p w14:paraId="3A7D1100" w14:textId="77777777" w:rsidR="00B62D9C" w:rsidRDefault="00B62D9C" w:rsidP="00B62D9C">
                      <w:pPr>
                        <w:pStyle w:val="BodyText"/>
                        <w:rPr>
                          <w:rFonts w:eastAsia="Open Sans"/>
                        </w:rPr>
                      </w:pPr>
                    </w:p>
                    <w:p w14:paraId="6B020E68" w14:textId="77777777" w:rsidR="00B62D9C" w:rsidRDefault="00B62D9C" w:rsidP="00B62D9C">
                      <w:pPr>
                        <w:pStyle w:val="BodyText"/>
                        <w:rPr>
                          <w:rFonts w:eastAsia="Open Sans"/>
                        </w:rPr>
                      </w:pPr>
                    </w:p>
                    <w:p w14:paraId="48EF8AB7" w14:textId="77777777" w:rsidR="00B62D9C" w:rsidRDefault="00B62D9C" w:rsidP="00B62D9C">
                      <w:pPr>
                        <w:pStyle w:val="BodyText"/>
                        <w:rPr>
                          <w:rFonts w:eastAsia="Open Sans"/>
                        </w:rPr>
                      </w:pPr>
                    </w:p>
                    <w:p w14:paraId="28A96DB7" w14:textId="77777777" w:rsidR="00B62D9C" w:rsidRDefault="00B62D9C" w:rsidP="00B62D9C">
                      <w:pPr>
                        <w:pStyle w:val="BodyText"/>
                        <w:rPr>
                          <w:rFonts w:eastAsia="Open Sans"/>
                        </w:rPr>
                      </w:pPr>
                    </w:p>
                    <w:p w14:paraId="06E2DA27" w14:textId="77777777" w:rsidR="00B62D9C" w:rsidRDefault="00B62D9C" w:rsidP="00B62D9C">
                      <w:pPr>
                        <w:pStyle w:val="BodyText"/>
                        <w:rPr>
                          <w:rFonts w:eastAsia="Open Sans"/>
                        </w:rPr>
                      </w:pPr>
                    </w:p>
                    <w:p w14:paraId="47D7C762" w14:textId="77777777" w:rsidR="00B62D9C" w:rsidRDefault="00B62D9C" w:rsidP="00B62D9C">
                      <w:pPr>
                        <w:pStyle w:val="BodyText"/>
                        <w:rPr>
                          <w:rFonts w:eastAsia="Open Sans"/>
                        </w:rPr>
                      </w:pPr>
                    </w:p>
                    <w:p w14:paraId="3C08E3CD" w14:textId="77777777" w:rsidR="00B62D9C" w:rsidRDefault="00B62D9C" w:rsidP="00B62D9C">
                      <w:pPr>
                        <w:pStyle w:val="BodyText"/>
                        <w:rPr>
                          <w:rFonts w:eastAsia="Open Sans"/>
                        </w:rPr>
                      </w:pPr>
                    </w:p>
                    <w:p w14:paraId="3C180A36" w14:textId="77777777" w:rsidR="00B62D9C" w:rsidRDefault="00B62D9C" w:rsidP="00B62D9C">
                      <w:pPr>
                        <w:pStyle w:val="BodyText"/>
                        <w:rPr>
                          <w:rFonts w:eastAsia="Open Sans"/>
                        </w:rPr>
                      </w:pPr>
                    </w:p>
                    <w:p w14:paraId="014C9230" w14:textId="77777777" w:rsidR="00B62D9C" w:rsidRDefault="00B62D9C" w:rsidP="00B62D9C">
                      <w:pPr>
                        <w:pStyle w:val="BodyText"/>
                        <w:rPr>
                          <w:rFonts w:eastAsia="Open Sans"/>
                        </w:rPr>
                      </w:pPr>
                    </w:p>
                    <w:p w14:paraId="7190E35F" w14:textId="77777777" w:rsidR="00B62D9C" w:rsidRDefault="00B62D9C" w:rsidP="00B62D9C">
                      <w:pPr>
                        <w:pStyle w:val="BodyText"/>
                        <w:rPr>
                          <w:rFonts w:eastAsia="Open Sans"/>
                        </w:rPr>
                      </w:pPr>
                    </w:p>
                    <w:p w14:paraId="5E6FAC98" w14:textId="77777777" w:rsidR="00B62D9C" w:rsidRDefault="00B62D9C" w:rsidP="00B62D9C">
                      <w:pPr>
                        <w:pStyle w:val="BodyText"/>
                        <w:rPr>
                          <w:rFonts w:eastAsia="Open Sans"/>
                        </w:rPr>
                      </w:pPr>
                    </w:p>
                    <w:p w14:paraId="7D3D3CF9" w14:textId="77777777" w:rsidR="00B62D9C" w:rsidRDefault="00B62D9C" w:rsidP="00B62D9C">
                      <w:pPr>
                        <w:pStyle w:val="BodyText"/>
                        <w:rPr>
                          <w:rFonts w:eastAsia="Open Sans"/>
                        </w:rPr>
                      </w:pPr>
                    </w:p>
                    <w:p w14:paraId="31592308" w14:textId="77777777" w:rsidR="00B62D9C" w:rsidRDefault="00B62D9C" w:rsidP="00B62D9C">
                      <w:pPr>
                        <w:pStyle w:val="BodyText"/>
                        <w:rPr>
                          <w:rFonts w:eastAsia="Open Sans"/>
                        </w:rPr>
                      </w:pPr>
                    </w:p>
                    <w:p w14:paraId="43A1A613" w14:textId="77777777" w:rsidR="00B62D9C" w:rsidRDefault="00B62D9C" w:rsidP="00B62D9C">
                      <w:pPr>
                        <w:pStyle w:val="BodyText"/>
                        <w:rPr>
                          <w:rFonts w:eastAsia="Open Sans"/>
                        </w:rPr>
                      </w:pPr>
                    </w:p>
                    <w:p w14:paraId="2B6CFB46" w14:textId="77777777" w:rsidR="00B62D9C" w:rsidRDefault="00B62D9C" w:rsidP="00B62D9C">
                      <w:pPr>
                        <w:pStyle w:val="BodyText"/>
                        <w:rPr>
                          <w:rFonts w:eastAsia="Open Sans"/>
                        </w:rPr>
                      </w:pPr>
                    </w:p>
                    <w:p w14:paraId="0EF07424" w14:textId="77777777" w:rsidR="00B62D9C" w:rsidRDefault="00B62D9C" w:rsidP="00B62D9C">
                      <w:pPr>
                        <w:pStyle w:val="BodyText"/>
                        <w:rPr>
                          <w:rFonts w:eastAsia="Open Sans"/>
                        </w:rPr>
                      </w:pPr>
                    </w:p>
                    <w:p w14:paraId="39A43609" w14:textId="77777777" w:rsidR="00B62D9C" w:rsidRDefault="00B62D9C" w:rsidP="00B62D9C">
                      <w:pPr>
                        <w:pStyle w:val="BodyText"/>
                        <w:rPr>
                          <w:rFonts w:eastAsia="Open Sans"/>
                        </w:rPr>
                      </w:pPr>
                    </w:p>
                    <w:p w14:paraId="6BB9D082" w14:textId="77777777" w:rsidR="00B62D9C" w:rsidRDefault="00B62D9C" w:rsidP="00B62D9C">
                      <w:pPr>
                        <w:pStyle w:val="BodyText"/>
                        <w:rPr>
                          <w:rFonts w:eastAsia="Open Sans"/>
                        </w:rPr>
                      </w:pPr>
                    </w:p>
                    <w:p w14:paraId="5280F1E1" w14:textId="77777777" w:rsidR="00B62D9C" w:rsidRDefault="00B62D9C" w:rsidP="00B62D9C">
                      <w:pPr>
                        <w:pStyle w:val="BodyText"/>
                        <w:rPr>
                          <w:rFonts w:eastAsia="Open Sans"/>
                        </w:rPr>
                      </w:pPr>
                    </w:p>
                    <w:p w14:paraId="37CC18E2" w14:textId="77777777" w:rsidR="00B62D9C" w:rsidRDefault="00B62D9C" w:rsidP="00B62D9C">
                      <w:pPr>
                        <w:pStyle w:val="BodyText"/>
                        <w:rPr>
                          <w:rFonts w:eastAsia="Open Sans"/>
                        </w:rPr>
                      </w:pPr>
                    </w:p>
                    <w:p w14:paraId="2BE36F45" w14:textId="77777777" w:rsidR="00B62D9C" w:rsidRDefault="00B62D9C" w:rsidP="00B62D9C">
                      <w:pPr>
                        <w:pStyle w:val="BodyText"/>
                        <w:rPr>
                          <w:rFonts w:eastAsia="Open Sans"/>
                        </w:rPr>
                      </w:pPr>
                    </w:p>
                    <w:p w14:paraId="4F306363" w14:textId="77777777" w:rsidR="00B62D9C" w:rsidRDefault="00B62D9C" w:rsidP="00B62D9C">
                      <w:pPr>
                        <w:pStyle w:val="BodyText"/>
                        <w:rPr>
                          <w:rFonts w:eastAsia="Open Sans"/>
                        </w:rPr>
                      </w:pPr>
                    </w:p>
                    <w:p w14:paraId="0E61A515" w14:textId="77777777" w:rsidR="00B62D9C" w:rsidRDefault="00B62D9C" w:rsidP="00B62D9C">
                      <w:pPr>
                        <w:pStyle w:val="BodyText"/>
                        <w:rPr>
                          <w:rFonts w:eastAsia="Open Sans"/>
                        </w:rPr>
                      </w:pPr>
                    </w:p>
                    <w:p w14:paraId="5306E17B" w14:textId="77777777" w:rsidR="00B62D9C" w:rsidRDefault="00B62D9C" w:rsidP="00B62D9C">
                      <w:pPr>
                        <w:pStyle w:val="BodyText"/>
                        <w:rPr>
                          <w:rFonts w:eastAsia="Open Sans"/>
                        </w:rPr>
                      </w:pPr>
                    </w:p>
                    <w:p w14:paraId="4A051721" w14:textId="77777777" w:rsidR="00B62D9C" w:rsidRDefault="00B62D9C" w:rsidP="00B62D9C">
                      <w:pPr>
                        <w:pStyle w:val="BodyText"/>
                        <w:rPr>
                          <w:rFonts w:eastAsia="Open Sans"/>
                        </w:rPr>
                      </w:pPr>
                    </w:p>
                    <w:p w14:paraId="405538F6" w14:textId="77777777" w:rsidR="00B62D9C" w:rsidRDefault="00B62D9C" w:rsidP="00B62D9C">
                      <w:pPr>
                        <w:pStyle w:val="BodyText"/>
                        <w:rPr>
                          <w:rFonts w:eastAsia="Open Sans"/>
                        </w:rPr>
                      </w:pPr>
                    </w:p>
                    <w:p w14:paraId="20770565" w14:textId="77777777" w:rsidR="00B62D9C" w:rsidRDefault="00B62D9C" w:rsidP="00B62D9C">
                      <w:pPr>
                        <w:pStyle w:val="BodyText"/>
                        <w:rPr>
                          <w:rFonts w:eastAsia="Open Sans"/>
                        </w:rPr>
                      </w:pPr>
                    </w:p>
                    <w:p w14:paraId="1116A6DF" w14:textId="77777777" w:rsidR="00B62D9C" w:rsidRDefault="00B62D9C" w:rsidP="00B62D9C">
                      <w:pPr>
                        <w:pStyle w:val="BodyText"/>
                        <w:rPr>
                          <w:rFonts w:eastAsia="Open Sans"/>
                        </w:rPr>
                      </w:pPr>
                    </w:p>
                    <w:p w14:paraId="2D0C6ED0" w14:textId="77777777" w:rsidR="00B62D9C" w:rsidRDefault="00B62D9C" w:rsidP="00B62D9C">
                      <w:pPr>
                        <w:pStyle w:val="BodyText"/>
                        <w:rPr>
                          <w:rFonts w:eastAsia="Open Sans"/>
                        </w:rPr>
                      </w:pPr>
                    </w:p>
                    <w:p w14:paraId="5103E512" w14:textId="77777777" w:rsidR="00B62D9C" w:rsidRDefault="00B62D9C" w:rsidP="00B62D9C">
                      <w:pPr>
                        <w:pStyle w:val="BodyText"/>
                        <w:rPr>
                          <w:rFonts w:eastAsia="Open Sans"/>
                        </w:rPr>
                      </w:pPr>
                    </w:p>
                    <w:p w14:paraId="1D77D6A2" w14:textId="77777777" w:rsidR="00B62D9C" w:rsidRDefault="00B62D9C" w:rsidP="00B62D9C">
                      <w:pPr>
                        <w:pStyle w:val="BodyText"/>
                        <w:rPr>
                          <w:rFonts w:eastAsia="Open Sans"/>
                        </w:rPr>
                      </w:pPr>
                    </w:p>
                    <w:p w14:paraId="1971B854" w14:textId="77777777" w:rsidR="00B62D9C" w:rsidRDefault="00B62D9C" w:rsidP="00B62D9C">
                      <w:pPr>
                        <w:pStyle w:val="BodyText"/>
                        <w:rPr>
                          <w:rFonts w:eastAsia="Open Sans"/>
                        </w:rPr>
                      </w:pPr>
                    </w:p>
                    <w:p w14:paraId="3AB94030" w14:textId="77777777" w:rsidR="00B62D9C" w:rsidRDefault="00B62D9C" w:rsidP="00B62D9C">
                      <w:pPr>
                        <w:pStyle w:val="BodyText"/>
                        <w:rPr>
                          <w:rFonts w:eastAsia="Open Sans"/>
                        </w:rPr>
                      </w:pPr>
                    </w:p>
                    <w:p w14:paraId="6FE04AD3" w14:textId="77777777" w:rsidR="00B62D9C" w:rsidRDefault="00B62D9C" w:rsidP="00B62D9C">
                      <w:pPr>
                        <w:pStyle w:val="BodyText"/>
                        <w:rPr>
                          <w:rFonts w:eastAsia="Open Sans"/>
                        </w:rPr>
                      </w:pPr>
                    </w:p>
                    <w:p w14:paraId="0AA3753F" w14:textId="77777777" w:rsidR="00B62D9C" w:rsidRDefault="00B62D9C" w:rsidP="00B62D9C">
                      <w:pPr>
                        <w:pStyle w:val="BodyText"/>
                        <w:rPr>
                          <w:rFonts w:eastAsia="Open Sans"/>
                        </w:rPr>
                      </w:pPr>
                    </w:p>
                    <w:p w14:paraId="3BD59747" w14:textId="77777777" w:rsidR="00B62D9C" w:rsidRDefault="00B62D9C" w:rsidP="00B62D9C">
                      <w:pPr>
                        <w:pStyle w:val="BodyText"/>
                        <w:rPr>
                          <w:rFonts w:eastAsia="Open Sans"/>
                        </w:rPr>
                      </w:pPr>
                    </w:p>
                    <w:p w14:paraId="0C194AC6" w14:textId="77777777" w:rsidR="00B62D9C" w:rsidRDefault="00B62D9C" w:rsidP="00B62D9C">
                      <w:pPr>
                        <w:pStyle w:val="BodyText"/>
                        <w:rPr>
                          <w:rFonts w:eastAsia="Open Sans"/>
                        </w:rPr>
                      </w:pPr>
                    </w:p>
                    <w:p w14:paraId="41564873" w14:textId="77777777" w:rsidR="00B62D9C" w:rsidRDefault="00B62D9C" w:rsidP="00B62D9C">
                      <w:pPr>
                        <w:pStyle w:val="BodyText"/>
                        <w:rPr>
                          <w:rFonts w:eastAsia="Open Sans"/>
                        </w:rPr>
                      </w:pPr>
                    </w:p>
                    <w:p w14:paraId="2626384C" w14:textId="77777777" w:rsidR="00B62D9C" w:rsidRDefault="00B62D9C" w:rsidP="00B62D9C">
                      <w:pPr>
                        <w:pStyle w:val="BodyText"/>
                        <w:rPr>
                          <w:rFonts w:eastAsia="Open Sans"/>
                        </w:rPr>
                      </w:pPr>
                    </w:p>
                    <w:p w14:paraId="234A9141" w14:textId="77777777" w:rsidR="00B62D9C" w:rsidRDefault="00B62D9C" w:rsidP="00B62D9C">
                      <w:pPr>
                        <w:pStyle w:val="BodyText"/>
                        <w:rPr>
                          <w:rFonts w:eastAsia="Open Sans"/>
                        </w:rPr>
                      </w:pPr>
                    </w:p>
                    <w:p w14:paraId="7EB335B0" w14:textId="77777777" w:rsidR="00B62D9C" w:rsidRDefault="00B62D9C" w:rsidP="00B62D9C">
                      <w:pPr>
                        <w:pStyle w:val="BodyText"/>
                        <w:rPr>
                          <w:rFonts w:eastAsia="Open Sans"/>
                        </w:rPr>
                      </w:pPr>
                    </w:p>
                    <w:p w14:paraId="3C1FA14A" w14:textId="77777777" w:rsidR="00B62D9C" w:rsidRDefault="00B62D9C" w:rsidP="00B62D9C">
                      <w:pPr>
                        <w:pStyle w:val="BodyText"/>
                        <w:rPr>
                          <w:rFonts w:eastAsia="Open Sans"/>
                        </w:rPr>
                      </w:pPr>
                    </w:p>
                    <w:p w14:paraId="247B7391" w14:textId="77777777" w:rsidR="00B62D9C" w:rsidRDefault="00B62D9C" w:rsidP="00B62D9C">
                      <w:pPr>
                        <w:pStyle w:val="BodyText"/>
                        <w:rPr>
                          <w:rFonts w:eastAsia="Open Sans"/>
                        </w:rPr>
                      </w:pPr>
                    </w:p>
                    <w:p w14:paraId="2F0D59CB" w14:textId="77777777" w:rsidR="00B62D9C" w:rsidRDefault="00B62D9C" w:rsidP="00B62D9C">
                      <w:pPr>
                        <w:pStyle w:val="BodyText"/>
                        <w:rPr>
                          <w:rFonts w:eastAsia="Open Sans"/>
                        </w:rPr>
                      </w:pPr>
                    </w:p>
                    <w:p w14:paraId="2E3A8B9A" w14:textId="77777777" w:rsidR="00B62D9C" w:rsidRDefault="00B62D9C" w:rsidP="00B62D9C">
                      <w:pPr>
                        <w:pStyle w:val="BodyText"/>
                        <w:rPr>
                          <w:rFonts w:eastAsia="Open Sans"/>
                        </w:rPr>
                      </w:pPr>
                    </w:p>
                    <w:p w14:paraId="170A5808" w14:textId="77777777" w:rsidR="00B62D9C" w:rsidRDefault="00B62D9C" w:rsidP="00B62D9C">
                      <w:pPr>
                        <w:pStyle w:val="BodyText"/>
                        <w:rPr>
                          <w:rFonts w:eastAsia="Open Sans"/>
                        </w:rPr>
                      </w:pPr>
                    </w:p>
                    <w:p w14:paraId="02DFF085" w14:textId="77777777" w:rsidR="00B62D9C" w:rsidRDefault="00B62D9C" w:rsidP="00B62D9C">
                      <w:pPr>
                        <w:pStyle w:val="BodyText"/>
                        <w:rPr>
                          <w:rFonts w:eastAsia="Open Sans"/>
                        </w:rPr>
                      </w:pPr>
                    </w:p>
                    <w:p w14:paraId="641AC7FA" w14:textId="77777777" w:rsidR="00B62D9C" w:rsidRDefault="00B62D9C" w:rsidP="00B62D9C">
                      <w:pPr>
                        <w:pStyle w:val="BodyText"/>
                        <w:rPr>
                          <w:rFonts w:eastAsia="Open Sans"/>
                        </w:rPr>
                      </w:pPr>
                    </w:p>
                    <w:p w14:paraId="72769B5C" w14:textId="77777777" w:rsidR="00B62D9C" w:rsidRDefault="00B62D9C" w:rsidP="00B62D9C">
                      <w:pPr>
                        <w:pStyle w:val="BodyText"/>
                        <w:rPr>
                          <w:rFonts w:eastAsia="Open Sans"/>
                        </w:rPr>
                      </w:pPr>
                    </w:p>
                    <w:p w14:paraId="4B330B96" w14:textId="77777777" w:rsidR="00B62D9C" w:rsidRDefault="00B62D9C" w:rsidP="00B62D9C">
                      <w:pPr>
                        <w:pStyle w:val="BodyText"/>
                        <w:rPr>
                          <w:rFonts w:eastAsia="Open Sans"/>
                        </w:rPr>
                      </w:pPr>
                    </w:p>
                    <w:p w14:paraId="00505A61" w14:textId="77777777" w:rsidR="00B62D9C" w:rsidRDefault="00B62D9C" w:rsidP="00B62D9C">
                      <w:pPr>
                        <w:pStyle w:val="BodyText"/>
                        <w:rPr>
                          <w:rFonts w:eastAsia="Open Sans"/>
                        </w:rPr>
                      </w:pPr>
                    </w:p>
                    <w:p w14:paraId="25A7E965" w14:textId="77777777" w:rsidR="00B62D9C" w:rsidRDefault="00B62D9C" w:rsidP="00B62D9C">
                      <w:pPr>
                        <w:pStyle w:val="BodyText"/>
                        <w:rPr>
                          <w:rFonts w:eastAsia="Open Sans"/>
                        </w:rPr>
                      </w:pPr>
                    </w:p>
                    <w:p w14:paraId="35B19D56" w14:textId="77777777" w:rsidR="00B62D9C" w:rsidRDefault="00B62D9C" w:rsidP="00B62D9C">
                      <w:pPr>
                        <w:pStyle w:val="BodyText"/>
                        <w:rPr>
                          <w:rFonts w:eastAsia="Open Sans"/>
                        </w:rPr>
                      </w:pPr>
                    </w:p>
                    <w:p w14:paraId="79EDC5B4" w14:textId="77777777" w:rsidR="00B62D9C" w:rsidRDefault="00B62D9C" w:rsidP="00B62D9C">
                      <w:pPr>
                        <w:pStyle w:val="BodyText"/>
                        <w:rPr>
                          <w:rFonts w:eastAsia="Open Sans"/>
                        </w:rPr>
                      </w:pPr>
                    </w:p>
                    <w:p w14:paraId="31C685F3" w14:textId="77777777" w:rsidR="00B62D9C" w:rsidRDefault="00B62D9C" w:rsidP="00B62D9C">
                      <w:pPr>
                        <w:pStyle w:val="BodyText"/>
                        <w:rPr>
                          <w:rFonts w:eastAsia="Open Sans"/>
                        </w:rPr>
                      </w:pPr>
                    </w:p>
                    <w:p w14:paraId="280D82FC" w14:textId="77777777" w:rsidR="00B62D9C" w:rsidRDefault="00B62D9C" w:rsidP="00B62D9C">
                      <w:pPr>
                        <w:pStyle w:val="BodyText"/>
                        <w:rPr>
                          <w:rFonts w:eastAsia="Open Sans"/>
                        </w:rPr>
                      </w:pPr>
                    </w:p>
                    <w:p w14:paraId="2966D0DE" w14:textId="77777777" w:rsidR="00B62D9C" w:rsidRDefault="00B62D9C" w:rsidP="00B62D9C">
                      <w:pPr>
                        <w:pStyle w:val="BodyText"/>
                        <w:rPr>
                          <w:rFonts w:eastAsia="Open Sans"/>
                        </w:rPr>
                      </w:pPr>
                    </w:p>
                    <w:p w14:paraId="6867ADE3" w14:textId="77777777" w:rsidR="00B62D9C" w:rsidRDefault="00B62D9C" w:rsidP="00B62D9C">
                      <w:pPr>
                        <w:pStyle w:val="BodyText"/>
                        <w:rPr>
                          <w:rFonts w:eastAsia="Open Sans"/>
                        </w:rPr>
                      </w:pPr>
                    </w:p>
                    <w:p w14:paraId="6C86C41D" w14:textId="77777777" w:rsidR="00B62D9C" w:rsidRDefault="00B62D9C" w:rsidP="00B62D9C">
                      <w:pPr>
                        <w:pStyle w:val="BodyText"/>
                        <w:rPr>
                          <w:rFonts w:eastAsia="Open Sans"/>
                        </w:rPr>
                      </w:pPr>
                    </w:p>
                    <w:p w14:paraId="091E86E6" w14:textId="77777777" w:rsidR="00B62D9C" w:rsidRDefault="00B62D9C" w:rsidP="00B62D9C">
                      <w:pPr>
                        <w:pStyle w:val="BodyText"/>
                        <w:rPr>
                          <w:rFonts w:eastAsia="Open Sans"/>
                        </w:rPr>
                      </w:pPr>
                    </w:p>
                    <w:p w14:paraId="7329CA7E" w14:textId="77777777" w:rsidR="00B62D9C" w:rsidRDefault="00B62D9C" w:rsidP="00B62D9C">
                      <w:pPr>
                        <w:pStyle w:val="BodyText"/>
                        <w:rPr>
                          <w:rFonts w:eastAsia="Open Sans"/>
                        </w:rPr>
                      </w:pPr>
                    </w:p>
                    <w:p w14:paraId="254A32AB" w14:textId="77777777" w:rsidR="00B62D9C" w:rsidRPr="007A7BD1" w:rsidRDefault="00B62D9C" w:rsidP="00B62D9C">
                      <w:pPr>
                        <w:pStyle w:val="BodyText"/>
                        <w:rPr>
                          <w:rFonts w:eastAsia="Open Sans"/>
                        </w:rPr>
                      </w:pPr>
                    </w:p>
                  </w:txbxContent>
                </v:textbox>
                <w10:anchorlock/>
              </v:shape>
            </w:pict>
          </mc:Fallback>
        </mc:AlternateContent>
      </w:r>
      <w:r w:rsidR="00326D82" w:rsidRPr="00A26E6C">
        <w:t xml:space="preserve">The rules are applied </w:t>
      </w:r>
      <w:r w:rsidR="00A47A87" w:rsidRPr="00A26E6C">
        <w:t xml:space="preserve">at </w:t>
      </w:r>
      <w:r w:rsidR="00326D82" w:rsidRPr="00A26E6C">
        <w:t>the stage</w:t>
      </w:r>
      <w:r w:rsidR="00A47A87" w:rsidRPr="00A26E6C">
        <w:t>s</w:t>
      </w:r>
      <w:r w:rsidR="00326D82" w:rsidRPr="00A26E6C">
        <w:t xml:space="preserve"> of application submission, project implementation, including public procurements, and </w:t>
      </w:r>
      <w:r w:rsidR="00A47A87" w:rsidRPr="00A26E6C">
        <w:t xml:space="preserve">while </w:t>
      </w:r>
      <w:r w:rsidR="00326D82" w:rsidRPr="00A26E6C">
        <w:t>maintaining project indicators during the durability period.</w:t>
      </w:r>
    </w:p>
    <w:p w14:paraId="675D0C8E" w14:textId="77777777" w:rsidR="00B65991" w:rsidRPr="006A3637" w:rsidRDefault="001D70DA" w:rsidP="003C58C0">
      <w:pPr>
        <w:spacing w:line="360" w:lineRule="auto"/>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lastRenderedPageBreak/>
        <w:t>Irregularity and fraud</w:t>
      </w:r>
    </w:p>
    <w:p w14:paraId="68E50ADF" w14:textId="27F1191C" w:rsidR="00326D82" w:rsidRPr="00B65991" w:rsidRDefault="00326D82" w:rsidP="003C58C0">
      <w:pPr>
        <w:spacing w:line="360" w:lineRule="auto"/>
        <w:rPr>
          <w:rFonts w:ascii="Open Sans SemiBold" w:eastAsia="Open Sans SemiBold" w:hAnsi="Open Sans SemiBold" w:cs="Open Sans SemiBold"/>
          <w:bCs/>
          <w:color w:val="003399"/>
        </w:rPr>
      </w:pPr>
      <w:r w:rsidRPr="00A26E6C">
        <w:rPr>
          <w:rFonts w:ascii="Open Sans SemiBold" w:eastAsia="Open Sans SemiBold" w:hAnsi="Open Sans SemiBold" w:cs="Open Sans SemiBold"/>
          <w:bCs/>
          <w:color w:val="003399"/>
        </w:rPr>
        <w:t>Irregularity</w:t>
      </w:r>
      <w:r w:rsidRPr="00A26E6C">
        <w:t xml:space="preserve"> is any infringement of EU regulations or national law relating to the application of EU regulations resulting from an act or omission by an institution implementing EU funding, which may result in charging the EU funding with unjustified expenditure.</w:t>
      </w:r>
    </w:p>
    <w:p w14:paraId="290ACE04" w14:textId="6AD2B5D6" w:rsidR="001D70DA" w:rsidRPr="00A26E6C" w:rsidRDefault="006C7AC0" w:rsidP="003C58C0">
      <w:pPr>
        <w:spacing w:line="360" w:lineRule="auto"/>
      </w:pPr>
      <w:r w:rsidRPr="00A26E6C">
        <w:rPr>
          <w:rFonts w:ascii="Open Sans SemiBold" w:eastAsia="Open Sans SemiBold" w:hAnsi="Open Sans SemiBold" w:cs="Open Sans SemiBold"/>
          <w:bCs/>
          <w:color w:val="003399"/>
        </w:rPr>
        <w:t>F</w:t>
      </w:r>
      <w:r w:rsidR="000B034D" w:rsidRPr="00A26E6C">
        <w:rPr>
          <w:rFonts w:ascii="Open Sans SemiBold" w:eastAsia="Open Sans SemiBold" w:hAnsi="Open Sans SemiBold" w:cs="Open Sans SemiBold"/>
          <w:bCs/>
          <w:color w:val="003399"/>
        </w:rPr>
        <w:t>raud</w:t>
      </w:r>
      <w:r w:rsidR="000B034D" w:rsidRPr="00A26E6C">
        <w:t xml:space="preserve"> </w:t>
      </w:r>
      <w:r w:rsidR="001D70DA" w:rsidRPr="00A26E6C">
        <w:t xml:space="preserve">is when the act or omission to misappropriate or wrongly retain </w:t>
      </w:r>
      <w:r w:rsidR="00326D82" w:rsidRPr="00A26E6C">
        <w:t>EU funding</w:t>
      </w:r>
      <w:r w:rsidR="001D70DA" w:rsidRPr="00A26E6C">
        <w:t xml:space="preserve"> is intentional. Fraud may consist of:</w:t>
      </w:r>
    </w:p>
    <w:p w14:paraId="70EF0301" w14:textId="604798A9" w:rsidR="009B7BFA" w:rsidRPr="00205D6E" w:rsidRDefault="00B65991" w:rsidP="003C58C0">
      <w:pPr>
        <w:pStyle w:val="ListParagraph"/>
        <w:numPr>
          <w:ilvl w:val="0"/>
          <w:numId w:val="20"/>
        </w:numPr>
        <w:spacing w:line="360" w:lineRule="auto"/>
      </w:pPr>
      <w:r>
        <w:t>T</w:t>
      </w:r>
      <w:r w:rsidR="001D70DA" w:rsidRPr="00205D6E">
        <w:t>he use or presentation of false, inaccurate or incomplete statements or documents</w:t>
      </w:r>
      <w:r w:rsidR="00283CF2">
        <w:t>.</w:t>
      </w:r>
    </w:p>
    <w:p w14:paraId="5958B974" w14:textId="2C4B4FF8" w:rsidR="009B7BFA" w:rsidRPr="00205D6E" w:rsidRDefault="00B65991" w:rsidP="003C58C0">
      <w:pPr>
        <w:pStyle w:val="ListParagraph"/>
        <w:numPr>
          <w:ilvl w:val="0"/>
          <w:numId w:val="20"/>
        </w:numPr>
        <w:spacing w:line="360" w:lineRule="auto"/>
      </w:pPr>
      <w:r>
        <w:t>T</w:t>
      </w:r>
      <w:r w:rsidR="001D70DA" w:rsidRPr="00205D6E">
        <w:t>he non-disclosure of information in violation of a specific obligation</w:t>
      </w:r>
      <w:r w:rsidR="00283CF2">
        <w:t>.</w:t>
      </w:r>
    </w:p>
    <w:p w14:paraId="18BD12BC" w14:textId="6D6DE732" w:rsidR="009B7BFA" w:rsidRPr="00205D6E" w:rsidRDefault="00B65991" w:rsidP="003C58C0">
      <w:pPr>
        <w:pStyle w:val="ListParagraph"/>
        <w:numPr>
          <w:ilvl w:val="0"/>
          <w:numId w:val="20"/>
        </w:numPr>
        <w:spacing w:line="360" w:lineRule="auto"/>
      </w:pPr>
      <w:r>
        <w:t>T</w:t>
      </w:r>
      <w:r w:rsidR="001D70DA" w:rsidRPr="00205D6E">
        <w:t xml:space="preserve">he misappropriation of </w:t>
      </w:r>
      <w:r w:rsidR="00326D82" w:rsidRPr="00205D6E">
        <w:t>EU funding</w:t>
      </w:r>
      <w:r w:rsidR="001D70DA" w:rsidRPr="00205D6E">
        <w:t xml:space="preserve"> for purposes other than those for which they were originally granted</w:t>
      </w:r>
      <w:r w:rsidR="00283CF2">
        <w:t>.</w:t>
      </w:r>
    </w:p>
    <w:p w14:paraId="62F7E8E2" w14:textId="3E760120" w:rsidR="001D70DA" w:rsidRPr="00205D6E" w:rsidRDefault="00B65991" w:rsidP="003C58C0">
      <w:pPr>
        <w:pStyle w:val="ListParagraph"/>
        <w:numPr>
          <w:ilvl w:val="0"/>
          <w:numId w:val="20"/>
        </w:numPr>
        <w:spacing w:line="360" w:lineRule="auto"/>
      </w:pPr>
      <w:r>
        <w:t>T</w:t>
      </w:r>
      <w:r w:rsidR="001D70DA" w:rsidRPr="00205D6E">
        <w:t>he misappropriation of a legally obtained benefit.</w:t>
      </w:r>
      <w:r w:rsidR="007319BB">
        <w:rPr>
          <w:rStyle w:val="FootnoteReference"/>
          <w:rFonts w:eastAsia="Open Sans" w:cs="Open Sans"/>
          <w:sz w:val="20"/>
          <w:szCs w:val="20"/>
        </w:rPr>
        <w:footnoteReference w:id="37"/>
      </w:r>
    </w:p>
    <w:p w14:paraId="5BAE13DF" w14:textId="2BCD83CA" w:rsidR="001D70DA" w:rsidRPr="00A26E6C" w:rsidRDefault="001D70DA" w:rsidP="003C58C0">
      <w:pPr>
        <w:spacing w:line="360" w:lineRule="auto"/>
      </w:pPr>
      <w:r w:rsidRPr="00A26E6C">
        <w:t xml:space="preserve">Fraud often involves the </w:t>
      </w:r>
      <w:r w:rsidR="00F4205E" w:rsidRPr="00A26E6C">
        <w:t xml:space="preserve">use of </w:t>
      </w:r>
      <w:r w:rsidRPr="00A26E6C">
        <w:t xml:space="preserve">deliberate misinformation for personal gain, for delivering benefits to a related person (e.g., a family member) or third party (e.g., </w:t>
      </w:r>
      <w:r w:rsidR="00E04AE9" w:rsidRPr="00A26E6C">
        <w:t xml:space="preserve">a </w:t>
      </w:r>
      <w:r w:rsidRPr="00A26E6C">
        <w:t>contractor), or exposing someone to loss.</w:t>
      </w:r>
    </w:p>
    <w:p w14:paraId="403D2FD2" w14:textId="4ADCC34D" w:rsidR="001D70DA" w:rsidRPr="00A26E6C" w:rsidRDefault="001D70DA" w:rsidP="003C58C0">
      <w:pPr>
        <w:spacing w:line="360" w:lineRule="auto"/>
      </w:pPr>
      <w:r w:rsidRPr="00A26E6C">
        <w:t xml:space="preserve">The most frequently identified frauds include, among others: conflict of interest, corruption, </w:t>
      </w:r>
      <w:r w:rsidR="00E04AE9" w:rsidRPr="00A26E6C">
        <w:t>forgery,</w:t>
      </w:r>
      <w:r w:rsidRPr="00A26E6C">
        <w:t xml:space="preserve"> and infringement of public procurement rules.</w:t>
      </w:r>
    </w:p>
    <w:p w14:paraId="021E5EC5" w14:textId="0BA62ED4" w:rsidR="001D70DA" w:rsidRPr="006A3637" w:rsidRDefault="001D70DA" w:rsidP="003C58C0">
      <w:pPr>
        <w:spacing w:line="360" w:lineRule="auto"/>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Conflict of interest</w:t>
      </w:r>
    </w:p>
    <w:p w14:paraId="6D1C019A" w14:textId="206C79EE" w:rsidR="001D70DA" w:rsidRPr="00A26E6C" w:rsidRDefault="001D70DA" w:rsidP="003C58C0">
      <w:pPr>
        <w:spacing w:line="360" w:lineRule="auto"/>
      </w:pPr>
      <w:r w:rsidRPr="00A26E6C">
        <w:t xml:space="preserve">A conflict of interest is a specific </w:t>
      </w:r>
      <w:r w:rsidRPr="00A26E6C">
        <w:rPr>
          <w:rFonts w:ascii="Open Sans SemiBold" w:eastAsia="Open Sans SemiBold" w:hAnsi="Open Sans SemiBold" w:cs="Open Sans SemiBold"/>
          <w:bCs/>
          <w:color w:val="003399"/>
        </w:rPr>
        <w:t>case of fraud</w:t>
      </w:r>
      <w:r w:rsidR="00F4205E" w:rsidRPr="00A26E6C">
        <w:rPr>
          <w:rFonts w:ascii="Open Sans SemiBold" w:eastAsia="Open Sans SemiBold" w:hAnsi="Open Sans SemiBold" w:cs="Open Sans SemiBold"/>
          <w:bCs/>
          <w:color w:val="003399"/>
        </w:rPr>
        <w:t>.</w:t>
      </w:r>
      <w:r w:rsidR="0003579B">
        <w:t xml:space="preserve"> </w:t>
      </w:r>
      <w:r w:rsidRPr="00A26E6C">
        <w:t xml:space="preserve">A conflict of interest exists where the impartiality or objectivity of a person who takes a decision related to the </w:t>
      </w:r>
      <w:r w:rsidRPr="00A26E6C">
        <w:lastRenderedPageBreak/>
        <w:t xml:space="preserve">spending of </w:t>
      </w:r>
      <w:r w:rsidR="00B82CA8" w:rsidRPr="00A26E6C">
        <w:t>EU funding</w:t>
      </w:r>
      <w:r w:rsidRPr="00A26E6C">
        <w:t xml:space="preserve"> is compromised for reasons involving family, emotional, political, economic interest or any other direct or indirect personal interest.</w:t>
      </w:r>
      <w:r w:rsidR="007319BB">
        <w:rPr>
          <w:rStyle w:val="FootnoteReference"/>
          <w:rFonts w:eastAsia="Open Sans" w:cs="Open Sans"/>
          <w:sz w:val="20"/>
          <w:szCs w:val="20"/>
        </w:rPr>
        <w:footnoteReference w:id="38"/>
      </w:r>
    </w:p>
    <w:p w14:paraId="2642BF1C" w14:textId="6A9023DA" w:rsidR="00A26E6C" w:rsidRDefault="00B41323" w:rsidP="003C58C0">
      <w:pPr>
        <w:spacing w:line="360" w:lineRule="auto"/>
      </w:pPr>
      <w:r w:rsidRPr="00A26E6C">
        <w:t>There is a</w:t>
      </w:r>
      <w:r w:rsidR="001D70DA" w:rsidRPr="00A26E6C">
        <w:t xml:space="preserve"> serious risk of a conflict of </w:t>
      </w:r>
      <w:r w:rsidR="00065BA8" w:rsidRPr="00A26E6C">
        <w:t>interest,</w:t>
      </w:r>
      <w:r w:rsidR="001D70DA" w:rsidRPr="00A26E6C">
        <w:t xml:space="preserve"> inter alia, when the contracting authority and the contractor (or authori</w:t>
      </w:r>
      <w:r w:rsidR="004C3F0F" w:rsidRPr="00A26E6C">
        <w:t>s</w:t>
      </w:r>
      <w:r w:rsidR="001D70DA" w:rsidRPr="00A26E6C">
        <w:t xml:space="preserve">ed representatives of the program institution and the beneficiary) are related as family members (parents, children, siblings, spouses, parents, and siblings of the spouse) or they are bound by relations of </w:t>
      </w:r>
      <w:r w:rsidR="00F4205E" w:rsidRPr="00A26E6C">
        <w:t xml:space="preserve">an </w:t>
      </w:r>
      <w:r w:rsidR="001D70DA" w:rsidRPr="00A26E6C">
        <w:t>economic, political</w:t>
      </w:r>
      <w:r w:rsidR="00B82CA8" w:rsidRPr="00A26E6C">
        <w:t>,</w:t>
      </w:r>
      <w:r w:rsidR="001D70DA" w:rsidRPr="00A26E6C">
        <w:t xml:space="preserve"> or business nature. </w:t>
      </w:r>
    </w:p>
    <w:p w14:paraId="1D95E3D2" w14:textId="49AD27E5" w:rsidR="00283CF2" w:rsidRDefault="006A3637" w:rsidP="003C58C0">
      <w:pPr>
        <w:spacing w:line="360" w:lineRule="auto"/>
      </w:pPr>
      <w:r>
        <w:rPr>
          <w:noProof/>
        </w:rPr>
        <mc:AlternateContent>
          <mc:Choice Requires="wps">
            <w:drawing>
              <wp:inline distT="0" distB="0" distL="0" distR="0" wp14:anchorId="12E053EF" wp14:editId="2B2944F8">
                <wp:extent cx="5751830" cy="561975"/>
                <wp:effectExtent l="0" t="0" r="20320" b="28575"/>
                <wp:docPr id="310613795"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561975"/>
                        </a:xfrm>
                        <a:prstGeom prst="rect">
                          <a:avLst/>
                        </a:prstGeom>
                        <a:ln w="12700">
                          <a:solidFill>
                            <a:srgbClr val="003399"/>
                          </a:solidFill>
                          <a:prstDash val="solid"/>
                        </a:ln>
                      </wps:spPr>
                      <wps:txbx>
                        <w:txbxContent>
                          <w:p w14:paraId="47600503"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All persons involved in the spending of European funds are required to avoid conflicts of interest.</w:t>
                            </w:r>
                          </w:p>
                        </w:txbxContent>
                      </wps:txbx>
                      <wps:bodyPr wrap="square" lIns="0" tIns="0" rIns="0" bIns="0" rtlCol="0">
                        <a:noAutofit/>
                      </wps:bodyPr>
                    </wps:wsp>
                  </a:graphicData>
                </a:graphic>
              </wp:inline>
            </w:drawing>
          </mc:Choice>
          <mc:Fallback>
            <w:pict>
              <v:shape w14:anchorId="12E053EF" id="_x0000_s1063" type="#_x0000_t202" style="width:452.9pt;height:4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" filled="f" strokecolor="#039" strokeweight="1pt">
                <v:path arrowok="t"/>
                <v:textbox inset="0,0,0,0">
                  <w:txbxContent>
                    <w:p w14:paraId="47600503"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All persons involved in the spending of European funds are required to avoid conflicts of interest.</w:t>
                      </w:r>
                    </w:p>
                  </w:txbxContent>
                </v:textbox>
                <w10:anchorlock/>
              </v:shape>
            </w:pict>
          </mc:Fallback>
        </mc:AlternateContent>
      </w:r>
    </w:p>
    <w:p w14:paraId="20FB38B9" w14:textId="6A524A54" w:rsidR="001D70DA" w:rsidRPr="006A3637" w:rsidRDefault="002E4CB4" w:rsidP="003C58C0">
      <w:pPr>
        <w:spacing w:line="360" w:lineRule="auto"/>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Measures to prevent irregularities and fraud</w:t>
      </w:r>
    </w:p>
    <w:p w14:paraId="59090EEF" w14:textId="5B9F1D88" w:rsidR="006F77DE" w:rsidRDefault="001D70DA" w:rsidP="003C58C0">
      <w:pPr>
        <w:spacing w:line="360" w:lineRule="auto"/>
      </w:pPr>
      <w:r w:rsidRPr="00A26E6C">
        <w:t xml:space="preserve">All institutions involved in </w:t>
      </w:r>
      <w:r w:rsidR="00F4205E" w:rsidRPr="00A26E6C">
        <w:t xml:space="preserve">the </w:t>
      </w:r>
      <w:r w:rsidRPr="00A26E6C">
        <w:t xml:space="preserve">spending of </w:t>
      </w:r>
      <w:r w:rsidR="00EF03FD" w:rsidRPr="00A26E6C">
        <w:t>EU funding</w:t>
      </w:r>
      <w:r w:rsidRPr="00A26E6C">
        <w:t xml:space="preserve"> should set up rules on fraud prevention</w:t>
      </w:r>
      <w:r w:rsidR="00F4205E" w:rsidRPr="00A26E6C">
        <w:t>,</w:t>
      </w:r>
      <w:r w:rsidRPr="00A26E6C">
        <w:t xml:space="preserve"> and procedures to deal with identified or suspected fraud, including conflict of interest. </w:t>
      </w:r>
    </w:p>
    <w:p w14:paraId="4973A79D" w14:textId="3CDDE3C5" w:rsidR="00A26E6C" w:rsidRPr="00A26E6C" w:rsidRDefault="006A3637" w:rsidP="003C58C0">
      <w:pPr>
        <w:spacing w:line="360" w:lineRule="auto"/>
      </w:pPr>
      <w:r>
        <w:rPr>
          <w:noProof/>
        </w:rPr>
        <mc:AlternateContent>
          <mc:Choice Requires="wps">
            <w:drawing>
              <wp:inline distT="0" distB="0" distL="0" distR="0" wp14:anchorId="2777C240" wp14:editId="3863E83E">
                <wp:extent cx="5772150" cy="895350"/>
                <wp:effectExtent l="0" t="0" r="19050" b="19050"/>
                <wp:docPr id="654162823"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895350"/>
                        </a:xfrm>
                        <a:prstGeom prst="rect">
                          <a:avLst/>
                        </a:prstGeom>
                        <a:ln w="12700">
                          <a:solidFill>
                            <a:srgbClr val="003399"/>
                          </a:solidFill>
                          <a:prstDash val="solid"/>
                        </a:ln>
                      </wps:spPr>
                      <wps:txbx>
                        <w:txbxContent>
                          <w:p w14:paraId="69FD7C59" w14:textId="77777777" w:rsidR="006A3637" w:rsidRPr="006A3637" w:rsidRDefault="006A3637" w:rsidP="006A3637">
                            <w:pPr>
                              <w:pStyle w:val="BodyText"/>
                              <w:rPr>
                                <w:rFonts w:ascii="Open Sans ExtraBold" w:eastAsiaTheme="minorHAnsi" w:hAnsiTheme="minorHAnsi" w:cstheme="minorBidi"/>
                                <w:b/>
                                <w:color w:val="003399"/>
                                <w:spacing w:val="-2"/>
                                <w:sz w:val="24"/>
                                <w:szCs w:val="28"/>
                                <w:lang w:eastAsia="en-US"/>
                              </w:rPr>
                            </w:pPr>
                            <w:r w:rsidRPr="006A3637">
                              <w:rPr>
                                <w:rFonts w:ascii="Open Sans ExtraBold" w:eastAsiaTheme="minorHAnsi" w:hAnsiTheme="minorHAnsi" w:cstheme="minorBidi"/>
                                <w:b/>
                                <w:color w:val="003399"/>
                                <w:spacing w:val="-2"/>
                                <w:sz w:val="24"/>
                                <w:szCs w:val="28"/>
                                <w:lang w:eastAsia="en-US"/>
                              </w:rPr>
                              <w:t xml:space="preserve">NB: </w:t>
                            </w:r>
                          </w:p>
                          <w:p w14:paraId="3C98616A"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 xml:space="preserve">The principles of the developed Programme Anti-Corruption Policy are described in detail in the Anti-Corruption Manual published on the </w:t>
                            </w:r>
                            <w:hyperlink r:id="rId27" w:history="1">
                              <w:r w:rsidRPr="006A3637">
                                <w:rPr>
                                  <w:rFonts w:ascii="Open Sans" w:eastAsiaTheme="minorHAnsi" w:hAnsi="Open Sans" w:cstheme="minorBidi"/>
                                  <w:color w:val="auto"/>
                                  <w:sz w:val="24"/>
                                  <w:szCs w:val="22"/>
                                  <w:lang w:eastAsia="en-US"/>
                                </w:rPr>
                                <w:t>Programme website.</w:t>
                              </w:r>
                            </w:hyperlink>
                          </w:p>
                        </w:txbxContent>
                      </wps:txbx>
                      <wps:bodyPr wrap="square" lIns="0" tIns="0" rIns="0" bIns="0" rtlCol="0">
                        <a:noAutofit/>
                      </wps:bodyPr>
                    </wps:wsp>
                  </a:graphicData>
                </a:graphic>
              </wp:inline>
            </w:drawing>
          </mc:Choice>
          <mc:Fallback>
            <w:pict>
              <v:shape w14:anchorId="2777C240" id="_x0000_s1064" type="#_x0000_t202" style="width:454.5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" filled="f" strokecolor="#039" strokeweight="1pt">
                <v:path arrowok="t"/>
                <v:textbox inset="0,0,0,0">
                  <w:txbxContent>
                    <w:p w14:paraId="69FD7C59" w14:textId="77777777" w:rsidR="006A3637" w:rsidRPr="006A3637" w:rsidRDefault="006A3637" w:rsidP="006A3637">
                      <w:pPr>
                        <w:pStyle w:val="BodyText"/>
                        <w:rPr>
                          <w:rFonts w:ascii="Open Sans ExtraBold" w:eastAsiaTheme="minorHAnsi" w:hAnsiTheme="minorHAnsi" w:cstheme="minorBidi"/>
                          <w:b/>
                          <w:color w:val="003399"/>
                          <w:spacing w:val="-2"/>
                          <w:sz w:val="24"/>
                          <w:szCs w:val="28"/>
                          <w:lang w:eastAsia="en-US"/>
                        </w:rPr>
                      </w:pPr>
                      <w:r w:rsidRPr="006A3637">
                        <w:rPr>
                          <w:rFonts w:ascii="Open Sans ExtraBold" w:eastAsiaTheme="minorHAnsi" w:hAnsiTheme="minorHAnsi" w:cstheme="minorBidi"/>
                          <w:b/>
                          <w:color w:val="003399"/>
                          <w:spacing w:val="-2"/>
                          <w:sz w:val="24"/>
                          <w:szCs w:val="28"/>
                          <w:lang w:eastAsia="en-US"/>
                        </w:rPr>
                        <w:t xml:space="preserve">NB: </w:t>
                      </w:r>
                    </w:p>
                    <w:p w14:paraId="3C98616A" w14:textId="77777777" w:rsidR="006A3637" w:rsidRPr="006A3637" w:rsidRDefault="006A3637" w:rsidP="006A3637">
                      <w:pPr>
                        <w:pStyle w:val="BodyText"/>
                        <w:rPr>
                          <w:rFonts w:ascii="Open Sans" w:eastAsiaTheme="minorHAnsi" w:hAnsi="Open Sans" w:cstheme="minorBidi"/>
                          <w:color w:val="auto"/>
                          <w:sz w:val="24"/>
                          <w:szCs w:val="22"/>
                          <w:lang w:eastAsia="en-US"/>
                        </w:rPr>
                      </w:pPr>
                      <w:r w:rsidRPr="006A3637">
                        <w:rPr>
                          <w:rFonts w:ascii="Open Sans" w:eastAsiaTheme="minorHAnsi" w:hAnsi="Open Sans" w:cstheme="minorBidi"/>
                          <w:color w:val="auto"/>
                          <w:sz w:val="24"/>
                          <w:szCs w:val="22"/>
                          <w:lang w:eastAsia="en-US"/>
                        </w:rPr>
                        <w:t xml:space="preserve">The principles of the developed Programme Anti-Corruption Policy are described in detail in the Anti-Corruption Manual published on the </w:t>
                      </w:r>
                      <w:hyperlink r:id="rId28" w:history="1">
                        <w:r w:rsidRPr="006A3637">
                          <w:rPr>
                            <w:rFonts w:ascii="Open Sans" w:eastAsiaTheme="minorHAnsi" w:hAnsi="Open Sans" w:cstheme="minorBidi"/>
                            <w:color w:val="auto"/>
                            <w:sz w:val="24"/>
                            <w:szCs w:val="22"/>
                            <w:lang w:eastAsia="en-US"/>
                          </w:rPr>
                          <w:t>Programme website.</w:t>
                        </w:r>
                      </w:hyperlink>
                    </w:p>
                  </w:txbxContent>
                </v:textbox>
                <w10:anchorlock/>
              </v:shape>
            </w:pict>
          </mc:Fallback>
        </mc:AlternateContent>
      </w:r>
    </w:p>
    <w:p w14:paraId="4815C238" w14:textId="4FF24091" w:rsidR="00FF2720" w:rsidRPr="00A26E6C" w:rsidRDefault="00FF2720" w:rsidP="003C58C0">
      <w:pPr>
        <w:spacing w:line="360" w:lineRule="auto"/>
      </w:pPr>
      <w:r w:rsidRPr="00A26E6C">
        <w:t>If irregularity or a fraud is identified or suspected on the part of the institutions responsible for the Programme implementation or the implementation of a project, this information should be immediately reported to one of the following institution</w:t>
      </w:r>
      <w:r w:rsidR="00F4205E" w:rsidRPr="00A26E6C">
        <w:t>s</w:t>
      </w:r>
      <w:r w:rsidRPr="00A26E6C">
        <w:t>:</w:t>
      </w:r>
    </w:p>
    <w:p w14:paraId="164737DD" w14:textId="49317E21" w:rsidR="009B7BFA" w:rsidRPr="00205D6E" w:rsidRDefault="001D70DA" w:rsidP="003C58C0">
      <w:pPr>
        <w:pStyle w:val="ListParagraph"/>
        <w:numPr>
          <w:ilvl w:val="0"/>
          <w:numId w:val="20"/>
        </w:numPr>
        <w:spacing w:line="360" w:lineRule="auto"/>
      </w:pPr>
      <w:r w:rsidRPr="00205D6E">
        <w:t>Managing Authority</w:t>
      </w:r>
    </w:p>
    <w:p w14:paraId="597FC062" w14:textId="3A276F07" w:rsidR="009B7BFA" w:rsidRPr="00205D6E" w:rsidRDefault="001D70DA" w:rsidP="003C58C0">
      <w:pPr>
        <w:pStyle w:val="ListParagraph"/>
        <w:numPr>
          <w:ilvl w:val="0"/>
          <w:numId w:val="20"/>
        </w:numPr>
        <w:spacing w:line="360" w:lineRule="auto"/>
      </w:pPr>
      <w:r w:rsidRPr="00205D6E">
        <w:lastRenderedPageBreak/>
        <w:t>National Authorit</w:t>
      </w:r>
      <w:r w:rsidR="00283CF2">
        <w:t>y</w:t>
      </w:r>
    </w:p>
    <w:p w14:paraId="33D471FE" w14:textId="15DB2E25" w:rsidR="009B7BFA" w:rsidRPr="00205D6E" w:rsidRDefault="003803B9" w:rsidP="003C58C0">
      <w:pPr>
        <w:pStyle w:val="ListParagraph"/>
        <w:numPr>
          <w:ilvl w:val="0"/>
          <w:numId w:val="20"/>
        </w:numPr>
        <w:spacing w:line="360" w:lineRule="auto"/>
      </w:pPr>
      <w:r w:rsidRPr="00205D6E">
        <w:t>First Level Controllers</w:t>
      </w:r>
    </w:p>
    <w:p w14:paraId="1DD787AF" w14:textId="5FFFD744" w:rsidR="009B7BFA" w:rsidRPr="00205D6E" w:rsidRDefault="009B7BFA" w:rsidP="003C58C0">
      <w:pPr>
        <w:pStyle w:val="ListParagraph"/>
        <w:numPr>
          <w:ilvl w:val="0"/>
          <w:numId w:val="20"/>
        </w:numPr>
        <w:spacing w:line="360" w:lineRule="auto"/>
      </w:pPr>
      <w:r w:rsidRPr="00205D6E">
        <w:t xml:space="preserve">Joint </w:t>
      </w:r>
      <w:r w:rsidR="001D70DA" w:rsidRPr="00205D6E">
        <w:t>Secretariat</w:t>
      </w:r>
      <w:r w:rsidR="00F4205E" w:rsidRPr="00205D6E">
        <w:t>,</w:t>
      </w:r>
      <w:r w:rsidR="001D70DA" w:rsidRPr="00205D6E">
        <w:t xml:space="preserve"> or </w:t>
      </w:r>
    </w:p>
    <w:p w14:paraId="705065C4" w14:textId="752DE937" w:rsidR="001D70DA" w:rsidRPr="00205D6E" w:rsidRDefault="00283CF2" w:rsidP="003C58C0">
      <w:pPr>
        <w:pStyle w:val="ListParagraph"/>
        <w:numPr>
          <w:ilvl w:val="0"/>
          <w:numId w:val="20"/>
        </w:numPr>
        <w:spacing w:line="360" w:lineRule="auto"/>
      </w:pPr>
      <w:r>
        <w:t>T</w:t>
      </w:r>
      <w:r w:rsidR="001D70DA" w:rsidRPr="00205D6E">
        <w:t xml:space="preserve">he mailbox: </w:t>
      </w:r>
      <w:bookmarkStart w:id="105" w:name="_Hlk139974673"/>
      <w:r w:rsidR="00832836" w:rsidRPr="00205D6E">
        <w:fldChar w:fldCharType="begin"/>
      </w:r>
      <w:r w:rsidR="00832836" w:rsidRPr="00205D6E">
        <w:instrText>HYPERLINK "file:///C:\\Users\\Bogumila_Kaczmarek\\AppData\\Local\\Microsoft\\Windows\\INetCache\\Content.Outlook\\CRTYCV0E\\NieprawidlowosciInterreg@mfipr.gov.pl"</w:instrText>
      </w:r>
      <w:r w:rsidR="00832836" w:rsidRPr="00205D6E">
        <w:fldChar w:fldCharType="separate"/>
      </w:r>
      <w:r w:rsidR="009E3953" w:rsidRPr="00205D6E">
        <w:t>NieprawidlowosciInterreg@mfipr.gov.pl</w:t>
      </w:r>
      <w:r w:rsidR="00832836" w:rsidRPr="00205D6E">
        <w:fldChar w:fldCharType="end"/>
      </w:r>
      <w:r w:rsidR="009E3953" w:rsidRPr="00205D6E">
        <w:t>.</w:t>
      </w:r>
      <w:bookmarkEnd w:id="105"/>
    </w:p>
    <w:p w14:paraId="575CF2F5" w14:textId="44DBC34E" w:rsidR="001D70DA" w:rsidRPr="00A26E6C" w:rsidRDefault="001D70DA" w:rsidP="003C58C0">
      <w:pPr>
        <w:spacing w:line="360" w:lineRule="auto"/>
      </w:pPr>
      <w:r w:rsidRPr="00A26E6C">
        <w:t xml:space="preserve">In </w:t>
      </w:r>
      <w:r w:rsidR="00F4205E" w:rsidRPr="00A26E6C">
        <w:t xml:space="preserve">the </w:t>
      </w:r>
      <w:r w:rsidRPr="00A26E6C">
        <w:t>case of suspicion</w:t>
      </w:r>
      <w:r w:rsidR="004261DF" w:rsidRPr="00A26E6C">
        <w:t xml:space="preserve"> of a crime</w:t>
      </w:r>
      <w:r w:rsidRPr="00A26E6C">
        <w:t>, a notification should be immediately sent to:</w:t>
      </w:r>
    </w:p>
    <w:p w14:paraId="23E18A6E" w14:textId="0E2A9896" w:rsidR="001D70DA" w:rsidRPr="00205D6E" w:rsidRDefault="00283CF2" w:rsidP="003C58C0">
      <w:pPr>
        <w:pStyle w:val="ListParagraph"/>
        <w:numPr>
          <w:ilvl w:val="0"/>
          <w:numId w:val="20"/>
        </w:numPr>
        <w:spacing w:line="360" w:lineRule="auto"/>
      </w:pPr>
      <w:r>
        <w:t>T</w:t>
      </w:r>
      <w:r w:rsidR="001D70DA" w:rsidRPr="00205D6E">
        <w:t>he competent investigative authorities</w:t>
      </w:r>
      <w:r w:rsidR="00C32F77" w:rsidRPr="00205D6E">
        <w:t xml:space="preserve"> – </w:t>
      </w:r>
      <w:r w:rsidR="001D70DA" w:rsidRPr="00205D6E">
        <w:t xml:space="preserve">in accordance with national </w:t>
      </w:r>
      <w:r w:rsidR="007477AA" w:rsidRPr="00205D6E">
        <w:t>law</w:t>
      </w:r>
    </w:p>
    <w:p w14:paraId="1E88673E" w14:textId="77777777" w:rsidR="001D70DA" w:rsidRPr="00A26E6C" w:rsidRDefault="001D70DA" w:rsidP="003C58C0">
      <w:pPr>
        <w:spacing w:line="360" w:lineRule="auto"/>
      </w:pPr>
      <w:r w:rsidRPr="00A26E6C">
        <w:t>and</w:t>
      </w:r>
    </w:p>
    <w:p w14:paraId="71ED81B9" w14:textId="2850D847" w:rsidR="001D70DA" w:rsidRPr="00205D6E" w:rsidRDefault="001D70DA" w:rsidP="003C58C0">
      <w:pPr>
        <w:pStyle w:val="ListParagraph"/>
        <w:numPr>
          <w:ilvl w:val="0"/>
          <w:numId w:val="20"/>
        </w:numPr>
        <w:spacing w:line="360" w:lineRule="auto"/>
      </w:pPr>
      <w:r w:rsidRPr="00205D6E">
        <w:t xml:space="preserve">Managing Authority </w:t>
      </w:r>
      <w:r w:rsidR="005649CD" w:rsidRPr="00205D6E">
        <w:t>(</w:t>
      </w:r>
      <w:r w:rsidRPr="00205D6E">
        <w:t xml:space="preserve">for </w:t>
      </w:r>
      <w:r w:rsidR="007477AA" w:rsidRPr="00205D6E">
        <w:t xml:space="preserve">a </w:t>
      </w:r>
      <w:r w:rsidRPr="00205D6E">
        <w:t>Polish beneficiary</w:t>
      </w:r>
      <w:r w:rsidR="005649CD" w:rsidRPr="00205D6E">
        <w:t>)</w:t>
      </w:r>
    </w:p>
    <w:p w14:paraId="3F968BFF" w14:textId="30DB3D0C" w:rsidR="001D70DA" w:rsidRPr="00A26E6C" w:rsidRDefault="001D70DA" w:rsidP="003C58C0">
      <w:pPr>
        <w:pStyle w:val="ListParagraph"/>
        <w:numPr>
          <w:ilvl w:val="0"/>
          <w:numId w:val="20"/>
        </w:numPr>
        <w:spacing w:line="360" w:lineRule="auto"/>
      </w:pPr>
      <w:r w:rsidRPr="00A26E6C">
        <w:t xml:space="preserve">National Authority </w:t>
      </w:r>
      <w:r w:rsidR="005649CD" w:rsidRPr="00A26E6C">
        <w:t>(</w:t>
      </w:r>
      <w:r w:rsidRPr="00A26E6C">
        <w:t xml:space="preserve">for </w:t>
      </w:r>
      <w:r w:rsidR="007477AA" w:rsidRPr="00A26E6C">
        <w:t>an</w:t>
      </w:r>
      <w:r w:rsidRPr="00A26E6C">
        <w:t>other beneficiary</w:t>
      </w:r>
      <w:r w:rsidR="005649CD" w:rsidRPr="00A26E6C">
        <w:t>)</w:t>
      </w:r>
      <w:r w:rsidRPr="00A26E6C">
        <w:t>.</w:t>
      </w:r>
    </w:p>
    <w:p w14:paraId="0D857DCC" w14:textId="4D0755F4" w:rsidR="001D70DA" w:rsidRPr="00A26E6C" w:rsidRDefault="001D70DA" w:rsidP="003C58C0">
      <w:pPr>
        <w:spacing w:line="360" w:lineRule="auto"/>
      </w:pPr>
      <w:r w:rsidRPr="00A26E6C">
        <w:t>The Guidance on avoid</w:t>
      </w:r>
      <w:r w:rsidR="00C310BD" w:rsidRPr="00A26E6C">
        <w:t>ing</w:t>
      </w:r>
      <w:r w:rsidRPr="00A26E6C">
        <w:t xml:space="preserve"> and manag</w:t>
      </w:r>
      <w:r w:rsidR="00C310BD" w:rsidRPr="00A26E6C">
        <w:t>ing</w:t>
      </w:r>
      <w:r w:rsidRPr="00A26E6C">
        <w:t xml:space="preserve"> conflicts of interest under the Financial Regulation issued by European Commission requires every person who takes decisions related to the spending of </w:t>
      </w:r>
      <w:r w:rsidR="00EF03FD" w:rsidRPr="00A26E6C">
        <w:t>EU funding</w:t>
      </w:r>
      <w:r w:rsidRPr="00A26E6C">
        <w:t xml:space="preserve"> to submit a declaration of impartiality </w:t>
      </w:r>
      <w:r w:rsidR="00B7310E" w:rsidRPr="00A26E6C">
        <w:t>to</w:t>
      </w:r>
      <w:r w:rsidRPr="00A26E6C">
        <w:t xml:space="preserve"> reduce the risks of conflict of interest.</w:t>
      </w:r>
      <w:r w:rsidR="00FF2720" w:rsidRPr="00A26E6C">
        <w:t xml:space="preserve"> This obligation arises from the European Commission</w:t>
      </w:r>
      <w:r w:rsidR="00580541" w:rsidRPr="00A26E6C">
        <w:t>’</w:t>
      </w:r>
      <w:r w:rsidR="00FF2720" w:rsidRPr="00A26E6C">
        <w:t>s guidelines on the avoidance and management of conflicts of interest.</w:t>
      </w:r>
    </w:p>
    <w:p w14:paraId="535B3913" w14:textId="136F261C" w:rsidR="00283CF2" w:rsidRPr="00A26E6C" w:rsidRDefault="00EF03FD" w:rsidP="003C58C0">
      <w:pPr>
        <w:spacing w:line="360" w:lineRule="auto"/>
      </w:pPr>
      <w:r w:rsidRPr="00A26E6C">
        <w:t>It means that the declaration of impartiality should be signed and stored in the project documentation by every person involved in the project implementation</w:t>
      </w:r>
      <w:r w:rsidR="00F67207" w:rsidRPr="00A26E6C">
        <w:t xml:space="preserve"> </w:t>
      </w:r>
      <w:r w:rsidR="00FF2720" w:rsidRPr="00A26E6C">
        <w:t>concerning every contractor in the project.</w:t>
      </w:r>
      <w:r w:rsidRPr="00A26E6C">
        <w:t xml:space="preserve"> If a conflict of interest </w:t>
      </w:r>
      <w:r w:rsidR="00FF2720" w:rsidRPr="00A26E6C">
        <w:t xml:space="preserve">occurs or </w:t>
      </w:r>
      <w:r w:rsidRPr="00A26E6C">
        <w:t>is suspected, the respective person should refrain</w:t>
      </w:r>
      <w:r w:rsidR="00FF2720" w:rsidRPr="00A26E6C">
        <w:t xml:space="preserve"> </w:t>
      </w:r>
      <w:r w:rsidRPr="00A26E6C">
        <w:t xml:space="preserve">from taking the decision. During the control activities, the FLC, Joint Secretariat or Audit Authority, </w:t>
      </w:r>
      <w:r w:rsidR="00C310BD" w:rsidRPr="00A26E6C">
        <w:t xml:space="preserve">based </w:t>
      </w:r>
      <w:r w:rsidRPr="00A26E6C">
        <w:t xml:space="preserve">on the accessible registers, may check whether the declaration has been submitted and whether it is reliable. </w:t>
      </w:r>
    </w:p>
    <w:p w14:paraId="53BBA777" w14:textId="6DD40110" w:rsidR="001D70DA" w:rsidRPr="006A3637" w:rsidRDefault="002E4CB4" w:rsidP="003C58C0">
      <w:pPr>
        <w:spacing w:line="360" w:lineRule="auto"/>
        <w:rPr>
          <w:rFonts w:ascii="Open Sans SemiBold" w:eastAsia="Open Sans SemiBold" w:hAnsi="Open Sans SemiBold" w:cs="Open Sans SemiBold"/>
          <w:bCs/>
          <w:color w:val="003399"/>
        </w:rPr>
      </w:pPr>
      <w:r w:rsidRPr="006A3637">
        <w:rPr>
          <w:rFonts w:ascii="Open Sans SemiBold" w:eastAsia="Open Sans SemiBold" w:hAnsi="Open Sans SemiBold" w:cs="Open Sans SemiBold"/>
          <w:bCs/>
          <w:color w:val="003399"/>
        </w:rPr>
        <w:t>Irregularities and fraud</w:t>
      </w:r>
      <w:r w:rsidR="001D70DA" w:rsidRPr="006A3637">
        <w:rPr>
          <w:rFonts w:ascii="Open Sans SemiBold" w:eastAsia="Open Sans SemiBold" w:hAnsi="Open Sans SemiBold" w:cs="Open Sans SemiBold"/>
          <w:bCs/>
          <w:color w:val="003399"/>
        </w:rPr>
        <w:t xml:space="preserve"> in public procuremen</w:t>
      </w:r>
      <w:r w:rsidR="00FE2844" w:rsidRPr="006A3637">
        <w:rPr>
          <w:rFonts w:ascii="Open Sans SemiBold" w:eastAsia="Open Sans SemiBold" w:hAnsi="Open Sans SemiBold" w:cs="Open Sans SemiBold"/>
          <w:bCs/>
          <w:color w:val="003399"/>
        </w:rPr>
        <w:t>t</w:t>
      </w:r>
      <w:r w:rsidR="007319BB" w:rsidRPr="006A3637">
        <w:rPr>
          <w:vertAlign w:val="superscript"/>
        </w:rPr>
        <w:footnoteReference w:id="39"/>
      </w:r>
    </w:p>
    <w:p w14:paraId="61146921" w14:textId="4495DDFE" w:rsidR="001D70DA" w:rsidRPr="00A26E6C" w:rsidRDefault="001D70DA" w:rsidP="003C58C0">
      <w:pPr>
        <w:spacing w:line="360" w:lineRule="auto"/>
      </w:pPr>
      <w:r w:rsidRPr="00A26E6C">
        <w:lastRenderedPageBreak/>
        <w:t xml:space="preserve">All project expenditure must be compatible with </w:t>
      </w:r>
      <w:r w:rsidR="00B41D20" w:rsidRPr="00A26E6C">
        <w:t xml:space="preserve">the </w:t>
      </w:r>
      <w:r w:rsidRPr="00A26E6C">
        <w:t xml:space="preserve">law. </w:t>
      </w:r>
      <w:r w:rsidR="00B41D20" w:rsidRPr="00A26E6C">
        <w:t>Therefore</w:t>
      </w:r>
      <w:r w:rsidRPr="00A26E6C">
        <w:t>, the process of selecting external experts and service providers should be conducted in a way ensuring transparency of decisions and equal treatment of all economic operators.</w:t>
      </w:r>
    </w:p>
    <w:p w14:paraId="6711FC37" w14:textId="206B6350" w:rsidR="001D70DA" w:rsidRPr="00A26E6C" w:rsidRDefault="001D70DA" w:rsidP="003C58C0">
      <w:pPr>
        <w:spacing w:line="360" w:lineRule="auto"/>
      </w:pPr>
      <w:r w:rsidRPr="00A26E6C">
        <w:t>Acting as a contracting authority during the procurement procedure, any situation that could lead to a conflict of interest must be avoided.</w:t>
      </w:r>
      <w:r w:rsidR="00250BDA">
        <w:rPr>
          <w:rStyle w:val="FootnoteReference"/>
          <w:rFonts w:eastAsia="Open Sans" w:cs="Open Sans"/>
          <w:sz w:val="20"/>
          <w:szCs w:val="20"/>
        </w:rPr>
        <w:footnoteReference w:id="40"/>
      </w:r>
    </w:p>
    <w:p w14:paraId="3805B308" w14:textId="1C92C3D6" w:rsidR="001D70DA" w:rsidRPr="00A26E6C" w:rsidRDefault="001D70DA" w:rsidP="003C58C0">
      <w:pPr>
        <w:spacing w:line="360" w:lineRule="auto"/>
      </w:pPr>
      <w:r w:rsidRPr="00A26E6C">
        <w:t xml:space="preserve">The contracting authority should take immediate action to rectify </w:t>
      </w:r>
      <w:r w:rsidR="00B41D20" w:rsidRPr="00A26E6C">
        <w:t xml:space="preserve">any </w:t>
      </w:r>
      <w:r w:rsidRPr="00A26E6C">
        <w:t xml:space="preserve">situation </w:t>
      </w:r>
      <w:r w:rsidR="00B41D20" w:rsidRPr="00A26E6C">
        <w:t xml:space="preserve">in which a </w:t>
      </w:r>
      <w:r w:rsidRPr="00A26E6C">
        <w:t xml:space="preserve">conflict of interest exists. The measures to be taken in such a situation depend on the stage of the procedure. </w:t>
      </w:r>
    </w:p>
    <w:p w14:paraId="4DB206B5" w14:textId="456FB924" w:rsidR="001D70DA" w:rsidRPr="00A26E6C" w:rsidRDefault="001D70DA" w:rsidP="003C58C0">
      <w:pPr>
        <w:spacing w:line="360" w:lineRule="auto"/>
      </w:pPr>
      <w:r w:rsidRPr="00A26E6C">
        <w:t xml:space="preserve">In the stage of selecting </w:t>
      </w:r>
      <w:r w:rsidR="00B41D20" w:rsidRPr="00A26E6C">
        <w:t xml:space="preserve">a </w:t>
      </w:r>
      <w:r w:rsidRPr="00A26E6C">
        <w:t>contractor:</w:t>
      </w:r>
    </w:p>
    <w:p w14:paraId="726B816F" w14:textId="1997BE58" w:rsidR="003803B9" w:rsidRPr="00205D6E" w:rsidRDefault="00283CF2" w:rsidP="003C58C0">
      <w:pPr>
        <w:pStyle w:val="ListParagraph"/>
        <w:numPr>
          <w:ilvl w:val="0"/>
          <w:numId w:val="20"/>
        </w:numPr>
        <w:spacing w:line="360" w:lineRule="auto"/>
      </w:pPr>
      <w:r>
        <w:t>A</w:t>
      </w:r>
      <w:r w:rsidR="001D70DA" w:rsidRPr="00205D6E">
        <w:t xml:space="preserve"> member of the tender committee who states that </w:t>
      </w:r>
      <w:r w:rsidR="00F47179" w:rsidRPr="00205D6E">
        <w:t>they are</w:t>
      </w:r>
      <w:r w:rsidR="001D70DA" w:rsidRPr="00205D6E">
        <w:t xml:space="preserve"> related to a tenderer must </w:t>
      </w:r>
      <w:r w:rsidR="00F47179" w:rsidRPr="00205D6E">
        <w:t xml:space="preserve">recuse themself </w:t>
      </w:r>
      <w:r w:rsidR="001D70DA" w:rsidRPr="00205D6E">
        <w:t>from working in the committee and be replaced with another person</w:t>
      </w:r>
      <w:r>
        <w:t>.</w:t>
      </w:r>
    </w:p>
    <w:p w14:paraId="4E00B0BD" w14:textId="30A08840" w:rsidR="007A7A0D" w:rsidRPr="00205D6E" w:rsidRDefault="00283CF2" w:rsidP="003C58C0">
      <w:pPr>
        <w:pStyle w:val="ListParagraph"/>
        <w:numPr>
          <w:ilvl w:val="0"/>
          <w:numId w:val="20"/>
        </w:numPr>
        <w:spacing w:line="360" w:lineRule="auto"/>
      </w:pPr>
      <w:r>
        <w:t>I</w:t>
      </w:r>
      <w:r w:rsidR="001D70DA" w:rsidRPr="00205D6E">
        <w:t xml:space="preserve">f the contracting authority states an </w:t>
      </w:r>
      <w:r w:rsidR="006C7AC0" w:rsidRPr="00205D6E">
        <w:t>economic</w:t>
      </w:r>
      <w:r w:rsidR="00D07B80" w:rsidRPr="00205D6E">
        <w:t>/</w:t>
      </w:r>
      <w:r w:rsidR="006C7AC0" w:rsidRPr="00205D6E">
        <w:t>capital relation</w:t>
      </w:r>
      <w:r w:rsidR="001D70DA" w:rsidRPr="00205D6E">
        <w:t xml:space="preserve"> with the tenderer, it must not to award the contract to this tenderer</w:t>
      </w:r>
      <w:r>
        <w:t>.</w:t>
      </w:r>
    </w:p>
    <w:p w14:paraId="76A3530C" w14:textId="30F5C378" w:rsidR="001D70DA" w:rsidRPr="00205D6E" w:rsidRDefault="00283CF2" w:rsidP="003C58C0">
      <w:pPr>
        <w:pStyle w:val="ListParagraph"/>
        <w:numPr>
          <w:ilvl w:val="0"/>
          <w:numId w:val="20"/>
        </w:numPr>
        <w:spacing w:line="360" w:lineRule="auto"/>
      </w:pPr>
      <w:r>
        <w:t>I</w:t>
      </w:r>
      <w:r w:rsidR="001D70DA" w:rsidRPr="00205D6E">
        <w:t xml:space="preserve">f a conflict of interest is detected at the end of the selection procedure, the procurement procedure must be </w:t>
      </w:r>
      <w:r w:rsidR="006C7AC0" w:rsidRPr="00205D6E">
        <w:t>cancelled</w:t>
      </w:r>
      <w:r w:rsidR="001D70DA" w:rsidRPr="00205D6E">
        <w:t xml:space="preserve"> and repeated.</w:t>
      </w:r>
    </w:p>
    <w:p w14:paraId="72B5E46C" w14:textId="36C4766D" w:rsidR="001D70DA" w:rsidRPr="00A26E6C" w:rsidRDefault="00F47179" w:rsidP="003C58C0">
      <w:pPr>
        <w:spacing w:line="360" w:lineRule="auto"/>
      </w:pPr>
      <w:r w:rsidRPr="00A26E6C">
        <w:rPr>
          <w:rFonts w:ascii="Open Sans SemiBold" w:eastAsia="Open Sans SemiBold" w:hAnsi="Open Sans SemiBold" w:cs="Open Sans SemiBold"/>
          <w:bCs/>
          <w:color w:val="003399"/>
        </w:rPr>
        <w:t>For</w:t>
      </w:r>
      <w:r w:rsidR="001D70DA" w:rsidRPr="00A26E6C">
        <w:rPr>
          <w:rFonts w:ascii="Open Sans SemiBold" w:eastAsia="Open Sans SemiBold" w:hAnsi="Open Sans SemiBold" w:cs="Open Sans SemiBold"/>
          <w:bCs/>
          <w:color w:val="003399"/>
        </w:rPr>
        <w:t xml:space="preserve"> Polish beneficiaries,</w:t>
      </w:r>
      <w:r w:rsidR="001D70DA" w:rsidRPr="00A26E6C">
        <w:t xml:space="preserve"> </w:t>
      </w:r>
      <w:bookmarkStart w:id="106" w:name="_Hlk111808704"/>
      <w:r w:rsidR="001D70DA" w:rsidRPr="00A26E6C">
        <w:t>obligations related to conflict</w:t>
      </w:r>
      <w:r w:rsidRPr="00A26E6C">
        <w:t>s</w:t>
      </w:r>
      <w:r w:rsidR="001D70DA" w:rsidRPr="00A26E6C">
        <w:t xml:space="preserve"> of interest </w:t>
      </w:r>
      <w:bookmarkEnd w:id="106"/>
      <w:r w:rsidR="001D70DA" w:rsidRPr="00A26E6C">
        <w:t>are defined in the Public Procurement Law and in the Competitiveness Principles (</w:t>
      </w:r>
      <w:r w:rsidR="001D70DA" w:rsidRPr="00A26E6C">
        <w:rPr>
          <w:rFonts w:ascii="Open Sans SemiBold" w:eastAsia="Open Sans SemiBold" w:hAnsi="Open Sans SemiBold" w:cs="Open Sans SemiBold"/>
          <w:bCs/>
          <w:color w:val="003399"/>
        </w:rPr>
        <w:t>Annex</w:t>
      </w:r>
      <w:r w:rsidR="004A1B84" w:rsidRPr="00A26E6C">
        <w:rPr>
          <w:rFonts w:ascii="Open Sans SemiBold" w:eastAsia="Open Sans SemiBold" w:hAnsi="Open Sans SemiBold" w:cs="Open Sans SemiBold"/>
          <w:bCs/>
          <w:color w:val="003399"/>
        </w:rPr>
        <w:t xml:space="preserve"> </w:t>
      </w:r>
      <w:r w:rsidR="00A02982" w:rsidRPr="00A26E6C">
        <w:rPr>
          <w:rFonts w:ascii="Open Sans SemiBold" w:eastAsia="Open Sans SemiBold" w:hAnsi="Open Sans SemiBold" w:cs="Open Sans SemiBold"/>
          <w:bCs/>
          <w:color w:val="003399"/>
        </w:rPr>
        <w:t>3</w:t>
      </w:r>
      <w:r w:rsidR="00A02982" w:rsidRPr="00A26E6C">
        <w:t xml:space="preserve"> </w:t>
      </w:r>
      <w:r w:rsidR="00D13082" w:rsidRPr="00A26E6C">
        <w:t>Specific rules of awarding contracts under the project - specific rules for Polish project beneficiaries</w:t>
      </w:r>
      <w:r w:rsidR="001D70DA" w:rsidRPr="00A26E6C">
        <w:t xml:space="preserve">). </w:t>
      </w:r>
    </w:p>
    <w:p w14:paraId="4709072F" w14:textId="46064861" w:rsidR="001D70DA" w:rsidRPr="00A26E6C" w:rsidRDefault="00F47179" w:rsidP="003C58C0">
      <w:pPr>
        <w:spacing w:line="360" w:lineRule="auto"/>
      </w:pPr>
      <w:r w:rsidRPr="00A26E6C">
        <w:rPr>
          <w:rFonts w:ascii="Open Sans SemiBold" w:eastAsia="Open Sans SemiBold" w:hAnsi="Open Sans SemiBold" w:cs="Open Sans SemiBold"/>
          <w:bCs/>
          <w:color w:val="003399"/>
        </w:rPr>
        <w:t>For</w:t>
      </w:r>
      <w:r w:rsidR="001D70DA" w:rsidRPr="00A26E6C">
        <w:rPr>
          <w:rFonts w:ascii="Open Sans SemiBold" w:eastAsia="Open Sans SemiBold" w:hAnsi="Open Sans SemiBold" w:cs="Open Sans SemiBold"/>
          <w:bCs/>
          <w:color w:val="003399"/>
        </w:rPr>
        <w:t xml:space="preserve"> beneficiaries from outside Poland</w:t>
      </w:r>
      <w:r w:rsidRPr="00A26E6C">
        <w:rPr>
          <w:rFonts w:ascii="Open Sans SemiBold" w:eastAsia="Open Sans SemiBold" w:hAnsi="Open Sans SemiBold" w:cs="Open Sans SemiBold"/>
          <w:bCs/>
          <w:color w:val="003399"/>
        </w:rPr>
        <w:t>,</w:t>
      </w:r>
      <w:r w:rsidRPr="00A26E6C">
        <w:t xml:space="preserve"> </w:t>
      </w:r>
      <w:r w:rsidR="001D70DA" w:rsidRPr="00A26E6C">
        <w:t>obligations related to conflict</w:t>
      </w:r>
      <w:r w:rsidRPr="00A26E6C">
        <w:t>s</w:t>
      </w:r>
      <w:r w:rsidR="001D70DA" w:rsidRPr="00A26E6C">
        <w:t xml:space="preserve"> of interest are defined in</w:t>
      </w:r>
      <w:r w:rsidR="00E00681" w:rsidRPr="00A26E6C">
        <w:t xml:space="preserve"> </w:t>
      </w:r>
      <w:r w:rsidRPr="00A26E6C">
        <w:t xml:space="preserve">the </w:t>
      </w:r>
      <w:r w:rsidR="00E00681" w:rsidRPr="00A26E6C">
        <w:t>follow</w:t>
      </w:r>
      <w:r w:rsidRPr="00A26E6C">
        <w:t>ing</w:t>
      </w:r>
      <w:r w:rsidR="00E00681" w:rsidRPr="00A26E6C">
        <w:t>:</w:t>
      </w:r>
    </w:p>
    <w:p w14:paraId="1A63AC2F" w14:textId="071402A5" w:rsidR="005C3F87" w:rsidRPr="00A26E6C" w:rsidRDefault="004261DF" w:rsidP="003C58C0">
      <w:pPr>
        <w:pStyle w:val="ListParagraph"/>
        <w:numPr>
          <w:ilvl w:val="0"/>
          <w:numId w:val="58"/>
        </w:numPr>
        <w:spacing w:line="360" w:lineRule="auto"/>
      </w:pPr>
      <w:r w:rsidRPr="00A26E6C">
        <w:lastRenderedPageBreak/>
        <w:t>For</w:t>
      </w:r>
      <w:r w:rsidR="005C3F87" w:rsidRPr="00A26E6C">
        <w:t xml:space="preserve"> Danish beneficiaries, obligations related to </w:t>
      </w:r>
      <w:r w:rsidR="00F47179" w:rsidRPr="00A26E6C">
        <w:t>conflicts of interest</w:t>
      </w:r>
      <w:r w:rsidR="005C3F87" w:rsidRPr="00A26E6C">
        <w:t xml:space="preserve"> are defined in the Danish Act for Public Procurement (The Public Procurement Act No 1564 of 15 December 2015) entered into force on 1 January 2016)).</w:t>
      </w:r>
    </w:p>
    <w:p w14:paraId="7CD13E72" w14:textId="318F5110" w:rsidR="005C3F87" w:rsidRPr="00A26E6C" w:rsidRDefault="004261DF" w:rsidP="003C58C0">
      <w:pPr>
        <w:pStyle w:val="ListParagraph"/>
        <w:numPr>
          <w:ilvl w:val="0"/>
          <w:numId w:val="58"/>
        </w:numPr>
        <w:spacing w:line="360" w:lineRule="auto"/>
      </w:pPr>
      <w:r w:rsidRPr="00A26E6C">
        <w:t>For</w:t>
      </w:r>
      <w:r w:rsidR="005C3F87" w:rsidRPr="00A26E6C">
        <w:t xml:space="preserve"> German beneficiaries, obligations related to </w:t>
      </w:r>
      <w:r w:rsidR="00F47179" w:rsidRPr="00A26E6C">
        <w:t>conflicts of interest</w:t>
      </w:r>
      <w:r w:rsidR="005C3F87" w:rsidRPr="00A26E6C">
        <w:t xml:space="preserve"> are defined in the German Ordinances (on the Award of Public Contracts of 18 April 2016 and on the Award of Subthreshold Contracts of 2 July 2017 (as amended on 12 July 2018)).</w:t>
      </w:r>
    </w:p>
    <w:p w14:paraId="0255952D" w14:textId="5A9F715D" w:rsidR="005C3F87" w:rsidRPr="00A26E6C" w:rsidRDefault="004261DF" w:rsidP="003C58C0">
      <w:pPr>
        <w:pStyle w:val="ListParagraph"/>
        <w:numPr>
          <w:ilvl w:val="0"/>
          <w:numId w:val="58"/>
        </w:numPr>
        <w:spacing w:line="360" w:lineRule="auto"/>
      </w:pPr>
      <w:r w:rsidRPr="00A26E6C">
        <w:t>For</w:t>
      </w:r>
      <w:r w:rsidR="005C3F87" w:rsidRPr="00A26E6C">
        <w:t xml:space="preserve"> Lithuania beneficiaries, obligations related to </w:t>
      </w:r>
      <w:r w:rsidR="00F47179" w:rsidRPr="00A26E6C">
        <w:t>conflicts of interest</w:t>
      </w:r>
      <w:r w:rsidR="005C3F87" w:rsidRPr="00A26E6C">
        <w:t xml:space="preserve"> are defined in the Lithuanian Law on the Chief Official Ethics Commission (The Law on the Chief Official Ethics Commission No X-1666 from 1 July 2008). </w:t>
      </w:r>
    </w:p>
    <w:p w14:paraId="28489945" w14:textId="1D4C4787" w:rsidR="005C3F87" w:rsidRPr="00A26E6C" w:rsidRDefault="004261DF" w:rsidP="003C58C0">
      <w:pPr>
        <w:pStyle w:val="ListParagraph"/>
        <w:numPr>
          <w:ilvl w:val="0"/>
          <w:numId w:val="58"/>
        </w:numPr>
        <w:spacing w:line="360" w:lineRule="auto"/>
      </w:pPr>
      <w:r w:rsidRPr="00A26E6C">
        <w:t>For</w:t>
      </w:r>
      <w:r w:rsidR="005C3F87" w:rsidRPr="00A26E6C">
        <w:t xml:space="preserve"> Swedish beneficiaries, obligations related to </w:t>
      </w:r>
      <w:r w:rsidR="00F47179" w:rsidRPr="00A26E6C">
        <w:t>conflicts of interest</w:t>
      </w:r>
      <w:r w:rsidR="005C3F87" w:rsidRPr="00A26E6C">
        <w:t xml:space="preserve"> are defined in the Swedish Public Procurement Act (The Public Procurement Act No 2016:1145 of 1 December 2016).</w:t>
      </w:r>
    </w:p>
    <w:p w14:paraId="2D1CD8D7" w14:textId="41CA28C3" w:rsidR="00A26E6C" w:rsidRPr="00A26E6C" w:rsidRDefault="00AE2E31" w:rsidP="003C58C0">
      <w:pPr>
        <w:spacing w:line="360" w:lineRule="auto"/>
      </w:pPr>
      <w:r w:rsidRPr="00A26E6C">
        <w:t xml:space="preserve">On </w:t>
      </w:r>
      <w:r w:rsidR="001D70DA" w:rsidRPr="00A26E6C">
        <w:t>identifying any irregularity or fraud in the award of public procurement contracts, an appropriate financial correction in accordance with the current Commission guidelines</w:t>
      </w:r>
      <w:r w:rsidR="007319BB">
        <w:rPr>
          <w:rStyle w:val="FootnoteReference"/>
          <w:rFonts w:eastAsia="Open Sans" w:cs="Open Sans"/>
          <w:sz w:val="20"/>
          <w:szCs w:val="20"/>
        </w:rPr>
        <w:footnoteReference w:id="41"/>
      </w:r>
      <w:r w:rsidR="001D70DA" w:rsidRPr="00A26E6C">
        <w:t xml:space="preserve"> will be applied. According to </w:t>
      </w:r>
      <w:r w:rsidR="00FF2720" w:rsidRPr="00A26E6C">
        <w:t xml:space="preserve">the </w:t>
      </w:r>
      <w:r w:rsidR="001D70DA" w:rsidRPr="00A26E6C">
        <w:t xml:space="preserve">guidelines </w:t>
      </w:r>
      <w:r w:rsidR="00AF67B9" w:rsidRPr="00A26E6C">
        <w:t xml:space="preserve">on </w:t>
      </w:r>
      <w:r w:rsidR="001D70DA" w:rsidRPr="00A26E6C">
        <w:t>conflict of interest,</w:t>
      </w:r>
      <w:r w:rsidR="00AF67B9" w:rsidRPr="00A26E6C">
        <w:t xml:space="preserve"> those</w:t>
      </w:r>
      <w:r w:rsidR="001D70DA" w:rsidRPr="00A26E6C">
        <w:t xml:space="preserve"> with </w:t>
      </w:r>
      <w:r w:rsidR="00AF67B9" w:rsidRPr="00A26E6C">
        <w:t xml:space="preserve">an </w:t>
      </w:r>
      <w:r w:rsidR="001D70DA" w:rsidRPr="00A26E6C">
        <w:t xml:space="preserve">impact on the outcome of the procurement procedure will result in a correction of 100% of the procurement expenditure incurred. </w:t>
      </w:r>
      <w:r w:rsidR="00FF2720" w:rsidRPr="00A26E6C">
        <w:t>This means that the FLC will consider such expenditure in it</w:t>
      </w:r>
      <w:r w:rsidR="00AA2221" w:rsidRPr="00A26E6C">
        <w:t xml:space="preserve">s </w:t>
      </w:r>
      <w:r w:rsidR="00FF2720" w:rsidRPr="00A26E6C">
        <w:t>entirety ineligible.</w:t>
      </w:r>
      <w:bookmarkEnd w:id="104"/>
    </w:p>
    <w:p w14:paraId="44D9D937" w14:textId="38454884" w:rsidR="007D006B" w:rsidRPr="00205D6E" w:rsidRDefault="003774DC" w:rsidP="003C58C0">
      <w:pPr>
        <w:pStyle w:val="Heading2"/>
        <w:spacing w:line="360" w:lineRule="auto"/>
      </w:pPr>
      <w:bookmarkStart w:id="107" w:name="_Toc147242421"/>
      <w:r w:rsidRPr="00205D6E">
        <w:t>8</w:t>
      </w:r>
      <w:r w:rsidR="008D77D8" w:rsidRPr="00205D6E">
        <w:t xml:space="preserve"> CONTRACTUAL OBLIGATIONS</w:t>
      </w:r>
      <w:bookmarkEnd w:id="107"/>
    </w:p>
    <w:p w14:paraId="7E608160" w14:textId="2EEA4FA4" w:rsidR="00205D6E" w:rsidRDefault="00B72B35" w:rsidP="003C58C0">
      <w:pPr>
        <w:spacing w:line="360" w:lineRule="auto"/>
      </w:pPr>
      <w:r>
        <w:rPr>
          <w:noProof/>
        </w:rPr>
        <mc:AlternateContent>
          <mc:Choice Requires="wps">
            <w:drawing>
              <wp:anchor distT="0" distB="0" distL="0" distR="0" simplePos="0" relativeHeight="251768319" behindDoc="1" locked="0" layoutInCell="1" allowOverlap="1" wp14:anchorId="41719276" wp14:editId="350F3974">
                <wp:simplePos x="0" y="0"/>
                <wp:positionH relativeFrom="margin">
                  <wp:align>left</wp:align>
                </wp:positionH>
                <wp:positionV relativeFrom="paragraph">
                  <wp:posOffset>1385570</wp:posOffset>
                </wp:positionV>
                <wp:extent cx="5753100" cy="571500"/>
                <wp:effectExtent l="0" t="0" r="19050" b="19050"/>
                <wp:wrapTopAndBottom/>
                <wp:docPr id="732180792" name="Textbox 4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571500"/>
                        </a:xfrm>
                        <a:prstGeom prst="rect">
                          <a:avLst/>
                        </a:prstGeom>
                        <a:ln w="12700">
                          <a:solidFill>
                            <a:srgbClr val="003399"/>
                          </a:solidFill>
                          <a:prstDash val="solid"/>
                        </a:ln>
                      </wps:spPr>
                      <wps:txbx>
                        <w:txbxContent>
                          <w:p w14:paraId="77537827" w14:textId="112D6FED" w:rsidR="00205D6E" w:rsidRPr="006A3637" w:rsidRDefault="00205D6E" w:rsidP="00805C22">
                            <w:pPr>
                              <w:pStyle w:val="BodyText"/>
                              <w:rPr>
                                <w:rFonts w:ascii="Open Sans" w:eastAsia="Open Sans SemiBold" w:hAnsi="Open Sans" w:cs="Open Sans"/>
                                <w:b/>
                                <w:color w:val="003399"/>
                                <w:sz w:val="32"/>
                                <w:szCs w:val="32"/>
                              </w:rPr>
                            </w:pPr>
                            <w:r w:rsidRPr="006A3637">
                              <w:rPr>
                                <w:rFonts w:ascii="Open Sans" w:eastAsiaTheme="minorHAnsi" w:hAnsi="Open Sans" w:cs="Open Sans"/>
                                <w:b/>
                                <w:color w:val="003399"/>
                                <w:spacing w:val="-2"/>
                                <w:sz w:val="24"/>
                                <w:szCs w:val="32"/>
                              </w:rPr>
                              <w:t xml:space="preserve">Annex 1 </w:t>
                            </w:r>
                            <w:r w:rsidRPr="006A3637">
                              <w:rPr>
                                <w:rFonts w:ascii="Open Sans" w:eastAsia="Open Sans SemiBold" w:hAnsi="Open Sans" w:cs="Open Sans"/>
                                <w:bCs/>
                                <w:color w:val="003399"/>
                                <w:sz w:val="24"/>
                                <w:szCs w:val="36"/>
                              </w:rPr>
                              <w:t xml:space="preserve">Most common irregularities in the field of awarding contracts </w:t>
                            </w:r>
                            <w:r w:rsidRPr="004676B1">
                              <w:rPr>
                                <w:rFonts w:ascii="Open Sans" w:eastAsiaTheme="minorHAnsi" w:hAnsi="Open Sans" w:cstheme="minorBidi"/>
                                <w:color w:val="auto"/>
                                <w:sz w:val="24"/>
                                <w:szCs w:val="22"/>
                                <w:lang w:eastAsia="en-US"/>
                              </w:rPr>
                              <w:t>provides information on the most common irregularities in public procurements.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1719276" id="_x0000_s1065" type="#_x0000_t202" alt="&quot;&quot;" style="position:absolute;margin-left:0;margin-top:109.1pt;width:453pt;height:45pt;z-index:-251548161;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" filled="f" strokecolor="#039" strokeweight="1pt">
                <v:path arrowok="t"/>
                <v:textbox inset="0,0,0,0">
                  <w:txbxContent>
                    <w:p w14:paraId="77537827" w14:textId="112D6FED" w:rsidR="00205D6E" w:rsidRPr="006A3637" w:rsidRDefault="00205D6E" w:rsidP="00805C22">
                      <w:pPr>
                        <w:pStyle w:val="BodyText"/>
                        <w:rPr>
                          <w:rFonts w:ascii="Open Sans" w:eastAsia="Open Sans SemiBold" w:hAnsi="Open Sans" w:cs="Open Sans"/>
                          <w:b/>
                          <w:color w:val="003399"/>
                          <w:sz w:val="32"/>
                          <w:szCs w:val="32"/>
                        </w:rPr>
                      </w:pPr>
                      <w:r w:rsidRPr="006A3637">
                        <w:rPr>
                          <w:rFonts w:ascii="Open Sans" w:eastAsiaTheme="minorHAnsi" w:hAnsi="Open Sans" w:cs="Open Sans"/>
                          <w:b/>
                          <w:color w:val="003399"/>
                          <w:spacing w:val="-2"/>
                          <w:sz w:val="24"/>
                          <w:szCs w:val="32"/>
                        </w:rPr>
                        <w:t xml:space="preserve">Annex 1 </w:t>
                      </w:r>
                      <w:r w:rsidRPr="006A3637">
                        <w:rPr>
                          <w:rFonts w:ascii="Open Sans" w:eastAsia="Open Sans SemiBold" w:hAnsi="Open Sans" w:cs="Open Sans"/>
                          <w:bCs/>
                          <w:color w:val="003399"/>
                          <w:sz w:val="24"/>
                          <w:szCs w:val="36"/>
                        </w:rPr>
                        <w:t xml:space="preserve">Most common irregularities in the field of awarding contracts </w:t>
                      </w:r>
                      <w:r w:rsidRPr="004676B1">
                        <w:rPr>
                          <w:rFonts w:ascii="Open Sans" w:eastAsiaTheme="minorHAnsi" w:hAnsi="Open Sans" w:cstheme="minorBidi"/>
                          <w:color w:val="auto"/>
                          <w:sz w:val="24"/>
                          <w:szCs w:val="22"/>
                          <w:lang w:eastAsia="en-US"/>
                        </w:rPr>
                        <w:t>provides information on the most common irregularities in public procurements.</w:t>
                      </w:r>
                    </w:p>
                  </w:txbxContent>
                </v:textbox>
                <w10:wrap type="topAndBottom" anchorx="margin"/>
              </v:shape>
            </w:pict>
          </mc:Fallback>
        </mc:AlternateContent>
      </w:r>
      <w:r w:rsidR="002E4CB4" w:rsidRPr="00205D6E">
        <w:t xml:space="preserve">The nature of the project activities might require the project partners to contract an external provider to successfully implement some of the activities in the </w:t>
      </w:r>
      <w:r w:rsidR="002E4CB4" w:rsidRPr="00205D6E">
        <w:lastRenderedPageBreak/>
        <w:t xml:space="preserve">project. Therefore, it is highly </w:t>
      </w:r>
      <w:r w:rsidR="002E4CB4" w:rsidRPr="004676B1">
        <w:rPr>
          <w:b/>
          <w:bCs/>
        </w:rPr>
        <w:t>recommended</w:t>
      </w:r>
      <w:r w:rsidR="002E4CB4" w:rsidRPr="00205D6E">
        <w:t xml:space="preserve"> to describe all requirements regarding quality and delivery of the activity/service/item in the contract between the project partner and external service provider. The awarding of contracts is one of the most challenging aspects in the management of the project, because ultimately it also carries </w:t>
      </w:r>
      <w:r w:rsidR="00112137" w:rsidRPr="00205D6E">
        <w:t xml:space="preserve">the </w:t>
      </w:r>
      <w:r w:rsidR="002E4CB4" w:rsidRPr="00205D6E">
        <w:t xml:space="preserve">risk of having irregularities if not properly executed. </w:t>
      </w:r>
    </w:p>
    <w:p w14:paraId="1DEE3304" w14:textId="27DBF655" w:rsidR="00A771D8" w:rsidRPr="00205D6E" w:rsidRDefault="00112137" w:rsidP="003C58C0">
      <w:pPr>
        <w:spacing w:line="360" w:lineRule="auto"/>
      </w:pPr>
      <w:r w:rsidRPr="00205D6E">
        <w:t>T</w:t>
      </w:r>
      <w:r w:rsidR="002E4CB4" w:rsidRPr="00205D6E">
        <w:t xml:space="preserve">o avoid </w:t>
      </w:r>
      <w:r w:rsidRPr="00205D6E">
        <w:t xml:space="preserve">the </w:t>
      </w:r>
      <w:r w:rsidR="002E4CB4" w:rsidRPr="00205D6E">
        <w:t>most common irregularities</w:t>
      </w:r>
      <w:r w:rsidRPr="00205D6E">
        <w:t>,</w:t>
      </w:r>
      <w:r w:rsidR="002E4CB4" w:rsidRPr="00205D6E">
        <w:t xml:space="preserve"> the European Commission published the </w:t>
      </w:r>
      <w:r w:rsidR="002E4CB4" w:rsidRPr="00205D6E">
        <w:rPr>
          <w:rFonts w:ascii="Open Sans SemiBold" w:eastAsia="Open Sans SemiBold" w:hAnsi="Open Sans SemiBold" w:cs="Open Sans SemiBold"/>
          <w:bCs/>
          <w:color w:val="003399"/>
        </w:rPr>
        <w:t xml:space="preserve">handbook </w:t>
      </w:r>
      <w:r w:rsidR="00F02972" w:rsidRPr="00205D6E">
        <w:t>‘</w:t>
      </w:r>
      <w:hyperlink r:id="rId29" w:history="1">
        <w:r w:rsidR="002E4CB4" w:rsidRPr="00205D6E">
          <w:t>Public procurement guidance for practitioners on the avoidance of the most common errors in projects funded by the European Structural and Investment Funds</w:t>
        </w:r>
      </w:hyperlink>
      <w:r w:rsidR="00F02972" w:rsidRPr="00205D6E">
        <w:t>‘</w:t>
      </w:r>
      <w:r w:rsidR="002E4CB4" w:rsidRPr="00205D6E">
        <w:t>.</w:t>
      </w:r>
    </w:p>
    <w:p w14:paraId="48882530" w14:textId="0CC3820B" w:rsidR="00013676" w:rsidRPr="00205D6E" w:rsidRDefault="003774DC" w:rsidP="003C58C0">
      <w:pPr>
        <w:pStyle w:val="Heading2"/>
        <w:spacing w:line="360" w:lineRule="auto"/>
      </w:pPr>
      <w:bookmarkStart w:id="108" w:name="_Toc147242422"/>
      <w:r w:rsidRPr="00205D6E">
        <w:t>9</w:t>
      </w:r>
      <w:r w:rsidR="008D77D8" w:rsidRPr="00205D6E">
        <w:t xml:space="preserve"> STATE AID</w:t>
      </w:r>
      <w:bookmarkEnd w:id="108"/>
    </w:p>
    <w:p w14:paraId="3638AB17" w14:textId="78D9AF9F" w:rsidR="00013676" w:rsidRPr="00205D6E" w:rsidRDefault="003774DC" w:rsidP="003C58C0">
      <w:pPr>
        <w:pStyle w:val="Heading3"/>
        <w:spacing w:line="360" w:lineRule="auto"/>
      </w:pPr>
      <w:bookmarkStart w:id="109" w:name="_Toc147242423"/>
      <w:r w:rsidRPr="00205D6E">
        <w:t>9</w:t>
      </w:r>
      <w:r w:rsidR="00013676" w:rsidRPr="00205D6E">
        <w:t xml:space="preserve">.1 The concept of State </w:t>
      </w:r>
      <w:r w:rsidR="00BF5C93" w:rsidRPr="00205D6E">
        <w:t>a</w:t>
      </w:r>
      <w:r w:rsidR="00013676" w:rsidRPr="00205D6E">
        <w:t>id</w:t>
      </w:r>
      <w:bookmarkEnd w:id="109"/>
    </w:p>
    <w:p w14:paraId="5D9D1BA9" w14:textId="76F555F6" w:rsidR="0072771A" w:rsidRPr="00205D6E" w:rsidRDefault="00013676" w:rsidP="003C58C0">
      <w:pPr>
        <w:spacing w:line="360" w:lineRule="auto"/>
      </w:pPr>
      <w:r w:rsidRPr="00205D6E">
        <w:t xml:space="preserve">The basis of the free market in the EU is the principle of competition. Member States are obliged to safeguard this principle. Granting </w:t>
      </w:r>
      <w:r w:rsidR="00BF5C93" w:rsidRPr="00205D6E">
        <w:t>S</w:t>
      </w:r>
      <w:r w:rsidRPr="00205D6E">
        <w:t xml:space="preserve">tate </w:t>
      </w:r>
      <w:r w:rsidR="00BF5C93" w:rsidRPr="00205D6E">
        <w:t>a</w:t>
      </w:r>
      <w:r w:rsidRPr="00205D6E">
        <w:t>id is non-compliant with the internal market since it distorts its functioning and gives privilege to certain entities. However, the EU law allows state support (that is</w:t>
      </w:r>
      <w:r w:rsidR="00BB6DED" w:rsidRPr="00205D6E">
        <w:t>,</w:t>
      </w:r>
      <w:r w:rsidRPr="00205D6E">
        <w:t xml:space="preserve"> awarding State </w:t>
      </w:r>
      <w:r w:rsidR="00BF5C93" w:rsidRPr="00205D6E">
        <w:t>a</w:t>
      </w:r>
      <w:r w:rsidRPr="00205D6E">
        <w:t>id) on certain terms and conditions.</w:t>
      </w:r>
    </w:p>
    <w:p w14:paraId="23CA66C1" w14:textId="3A13D585" w:rsidR="00013676" w:rsidRPr="00205D6E" w:rsidRDefault="00013676" w:rsidP="003C58C0">
      <w:pPr>
        <w:spacing w:line="360" w:lineRule="auto"/>
      </w:pPr>
      <w:r w:rsidRPr="00205D6E">
        <w:t xml:space="preserve">There is no legal definition of State </w:t>
      </w:r>
      <w:r w:rsidR="00BF5C93" w:rsidRPr="00205D6E">
        <w:t>a</w:t>
      </w:r>
      <w:r w:rsidRPr="00205D6E">
        <w:t xml:space="preserve">id. The source of law and basis for defining what State </w:t>
      </w:r>
      <w:r w:rsidR="00BF5C93" w:rsidRPr="00205D6E">
        <w:t>a</w:t>
      </w:r>
      <w:r w:rsidRPr="00205D6E">
        <w:t>id is, constitute Articles 107 and 108 of</w:t>
      </w:r>
      <w:r w:rsidR="00BB6DED" w:rsidRPr="00205D6E">
        <w:t xml:space="preserve"> the</w:t>
      </w:r>
      <w:r w:rsidRPr="00205D6E">
        <w:t xml:space="preserve"> Treaty on the Functioning of the European Union (TFEU), in particular: </w:t>
      </w:r>
      <w:r w:rsidR="00F02972" w:rsidRPr="00205D6E">
        <w:t>‘</w:t>
      </w:r>
      <w:r w:rsidRPr="00205D6E">
        <w:t>Save as otherwise provided in the Treaties, any aid granted by a Member State or through State resources in any form whatsoever which distorts or threatens to distort competition by favouring certain undertakings or the production of certain goods shall, in so far as it affects trade between Member States, be incompatible with the internal market</w:t>
      </w:r>
      <w:r w:rsidR="00F02972" w:rsidRPr="00205D6E">
        <w:t>’</w:t>
      </w:r>
      <w:r w:rsidRPr="00205D6E">
        <w:t>.</w:t>
      </w:r>
      <w:r w:rsidR="00250BDA">
        <w:rPr>
          <w:rStyle w:val="FootnoteReference"/>
          <w:rFonts w:eastAsia="Open Sans" w:cs="Open Sans"/>
          <w:sz w:val="20"/>
          <w:szCs w:val="20"/>
        </w:rPr>
        <w:footnoteReference w:id="42"/>
      </w:r>
    </w:p>
    <w:p w14:paraId="3ED3AD50" w14:textId="01035DAA" w:rsidR="00013676" w:rsidRPr="00205D6E" w:rsidRDefault="00013676" w:rsidP="003C58C0">
      <w:pPr>
        <w:spacing w:line="360" w:lineRule="auto"/>
      </w:pPr>
      <w:r w:rsidRPr="00205D6E">
        <w:lastRenderedPageBreak/>
        <w:t xml:space="preserve">State </w:t>
      </w:r>
      <w:r w:rsidR="00BF5C93" w:rsidRPr="00205D6E">
        <w:t>a</w:t>
      </w:r>
      <w:r w:rsidRPr="00205D6E">
        <w:t xml:space="preserve">id is considered to be the support provided from state resources to an undertaking which meets the </w:t>
      </w:r>
      <w:r w:rsidRPr="00205D6E">
        <w:rPr>
          <w:rFonts w:ascii="Open Sans SemiBold" w:eastAsia="Open Sans SemiBold" w:hAnsi="Open Sans SemiBold" w:cs="Open Sans SemiBold"/>
          <w:bCs/>
          <w:color w:val="003399"/>
        </w:rPr>
        <w:t>following 4 criteria jointly:</w:t>
      </w:r>
    </w:p>
    <w:p w14:paraId="21F35ABB" w14:textId="643822EC" w:rsidR="00013676" w:rsidRPr="00205D6E" w:rsidRDefault="00013676" w:rsidP="003C58C0">
      <w:pPr>
        <w:pStyle w:val="ListParagraph"/>
        <w:numPr>
          <w:ilvl w:val="0"/>
          <w:numId w:val="59"/>
        </w:numPr>
        <w:spacing w:line="360" w:lineRule="auto"/>
      </w:pPr>
      <w:r w:rsidRPr="00205D6E">
        <w:rPr>
          <w:rFonts w:ascii="Open Sans SemiBold" w:eastAsia="Open Sans SemiBold" w:hAnsi="Open Sans SemiBold" w:cs="Open Sans SemiBold"/>
          <w:bCs/>
          <w:color w:val="003399"/>
        </w:rPr>
        <w:t>State origin</w:t>
      </w:r>
      <w:r w:rsidRPr="00205D6E">
        <w:t xml:space="preserve"> – support is granted by the state or with the use of state resources (e.g., co-financing from the ERDF, non-repayable grants, subsidies, tax reliefs)</w:t>
      </w:r>
      <w:bookmarkStart w:id="110" w:name="_Hlk98936463"/>
      <w:r w:rsidR="00FD4A87" w:rsidRPr="00205D6E">
        <w:t>.</w:t>
      </w:r>
    </w:p>
    <w:p w14:paraId="2F60E988" w14:textId="72FA1FFE" w:rsidR="00013676" w:rsidRPr="00205D6E" w:rsidRDefault="00013676" w:rsidP="003C58C0">
      <w:pPr>
        <w:pStyle w:val="ListParagraph"/>
        <w:numPr>
          <w:ilvl w:val="0"/>
          <w:numId w:val="59"/>
        </w:numPr>
        <w:spacing w:line="360" w:lineRule="auto"/>
      </w:pPr>
      <w:r w:rsidRPr="00205D6E">
        <w:rPr>
          <w:rFonts w:ascii="Open Sans SemiBold" w:eastAsia="Open Sans SemiBold" w:hAnsi="Open Sans SemiBold" w:cs="Open Sans SemiBold"/>
          <w:bCs/>
          <w:color w:val="003399"/>
        </w:rPr>
        <w:t xml:space="preserve">Selectivity </w:t>
      </w:r>
      <w:r w:rsidRPr="00205D6E">
        <w:t>– support is granted to selected undertakings or in selected sectors (e.g.</w:t>
      </w:r>
      <w:r w:rsidR="00FD4A87" w:rsidRPr="00205D6E">
        <w:t>,</w:t>
      </w:r>
      <w:r w:rsidRPr="00205D6E">
        <w:t xml:space="preserve"> fiscal measures of </w:t>
      </w:r>
      <w:r w:rsidR="006C567B" w:rsidRPr="00205D6E">
        <w:t xml:space="preserve">a </w:t>
      </w:r>
      <w:r w:rsidRPr="00205D6E">
        <w:t>general nature are not selective, whereas tax remission for only one group of undertakings is selective, organising training for a specific group of undertakings from the catering sector in a given region is selective)</w:t>
      </w:r>
      <w:bookmarkEnd w:id="110"/>
      <w:r w:rsidR="00FD4A87" w:rsidRPr="00205D6E">
        <w:t>.</w:t>
      </w:r>
    </w:p>
    <w:p w14:paraId="42CB59F9" w14:textId="1232FF4A" w:rsidR="00013676" w:rsidRPr="00205D6E" w:rsidRDefault="00013676" w:rsidP="003C58C0">
      <w:pPr>
        <w:pStyle w:val="ListParagraph"/>
        <w:numPr>
          <w:ilvl w:val="0"/>
          <w:numId w:val="59"/>
        </w:numPr>
        <w:spacing w:line="360" w:lineRule="auto"/>
      </w:pPr>
      <w:r w:rsidRPr="00205D6E">
        <w:rPr>
          <w:rFonts w:ascii="Open Sans SemiBold" w:eastAsia="Open Sans SemiBold" w:hAnsi="Open Sans SemiBold" w:cs="Open Sans SemiBold"/>
          <w:bCs/>
          <w:color w:val="003399"/>
        </w:rPr>
        <w:t>Economic advantage</w:t>
      </w:r>
      <w:r w:rsidRPr="00205D6E">
        <w:t xml:space="preserve"> – support is granted to an undertaking on more favourable conditions than th</w:t>
      </w:r>
      <w:r w:rsidR="006C567B" w:rsidRPr="00205D6E">
        <w:t>ose</w:t>
      </w:r>
      <w:r w:rsidRPr="00205D6E">
        <w:t xml:space="preserve"> offered on the market (e.g., in </w:t>
      </w:r>
      <w:r w:rsidR="006C567B" w:rsidRPr="00205D6E">
        <w:t xml:space="preserve">the </w:t>
      </w:r>
      <w:r w:rsidRPr="00205D6E">
        <w:t>form of a subsidy, non-repayable financial support, loan or credit with preferential interest, tax exemption or write-off</w:t>
      </w:r>
      <w:r w:rsidR="007636CB" w:rsidRPr="00205D6E">
        <w:t>,</w:t>
      </w:r>
      <w:r w:rsidRPr="00205D6E">
        <w:t xml:space="preserve"> etc.)</w:t>
      </w:r>
      <w:bookmarkStart w:id="111" w:name="_Hlk98936586"/>
      <w:r w:rsidR="00FD4A87" w:rsidRPr="00205D6E">
        <w:t>.</w:t>
      </w:r>
    </w:p>
    <w:p w14:paraId="4826B201" w14:textId="3D967124" w:rsidR="00013676" w:rsidRDefault="00013676" w:rsidP="003C58C0">
      <w:pPr>
        <w:pStyle w:val="ListParagraph"/>
        <w:numPr>
          <w:ilvl w:val="0"/>
          <w:numId w:val="59"/>
        </w:numPr>
        <w:spacing w:line="360" w:lineRule="auto"/>
      </w:pPr>
      <w:r w:rsidRPr="00205D6E">
        <w:rPr>
          <w:rFonts w:ascii="Open Sans SemiBold" w:eastAsia="Open Sans SemiBold" w:hAnsi="Open Sans SemiBold" w:cs="Open Sans SemiBold"/>
          <w:bCs/>
          <w:color w:val="003399"/>
        </w:rPr>
        <w:t>Competition distortion</w:t>
      </w:r>
      <w:r w:rsidR="00C32F77" w:rsidRPr="00205D6E">
        <w:t xml:space="preserve"> – </w:t>
      </w:r>
      <w:r w:rsidRPr="00205D6E">
        <w:t xml:space="preserve">support granted to an undertaking distorts or threatens </w:t>
      </w:r>
      <w:r w:rsidR="006C567B" w:rsidRPr="00205D6E">
        <w:t xml:space="preserve">to </w:t>
      </w:r>
      <w:r w:rsidRPr="00205D6E">
        <w:t xml:space="preserve">distort competition and has </w:t>
      </w:r>
      <w:r w:rsidR="006C567B" w:rsidRPr="00205D6E">
        <w:t xml:space="preserve">an </w:t>
      </w:r>
      <w:r w:rsidRPr="00205D6E">
        <w:t xml:space="preserve">impact on </w:t>
      </w:r>
      <w:r w:rsidR="006C567B" w:rsidRPr="00205D6E">
        <w:t xml:space="preserve">the </w:t>
      </w:r>
      <w:r w:rsidRPr="00205D6E">
        <w:t xml:space="preserve">exchange </w:t>
      </w:r>
      <w:r w:rsidR="006C567B" w:rsidRPr="00205D6E">
        <w:t xml:space="preserve">of trade </w:t>
      </w:r>
      <w:r w:rsidRPr="00205D6E">
        <w:t xml:space="preserve">between Member States (e.g., when support is awarded, it has a favourable influence on the catering entrepreneur’s position in the border area, where </w:t>
      </w:r>
      <w:r w:rsidR="006C567B" w:rsidRPr="00205D6E">
        <w:t xml:space="preserve">they are </w:t>
      </w:r>
      <w:r w:rsidRPr="00205D6E">
        <w:t>compet</w:t>
      </w:r>
      <w:r w:rsidR="006C567B" w:rsidRPr="00205D6E">
        <w:t>ing</w:t>
      </w:r>
      <w:r w:rsidRPr="00205D6E">
        <w:t xml:space="preserve"> at </w:t>
      </w:r>
      <w:r w:rsidR="006C567B" w:rsidRPr="00205D6E">
        <w:t xml:space="preserve">this </w:t>
      </w:r>
      <w:r w:rsidRPr="00205D6E">
        <w:t>specific time with a foreign entrepreneur in the border region).</w:t>
      </w:r>
    </w:p>
    <w:bookmarkEnd w:id="111"/>
    <w:p w14:paraId="36D2F510" w14:textId="0143B569" w:rsidR="00D70E5D" w:rsidRPr="00D366EA" w:rsidRDefault="00053B77" w:rsidP="003C58C0">
      <w:pPr>
        <w:spacing w:line="360" w:lineRule="auto"/>
      </w:pPr>
      <w:r>
        <w:rPr>
          <w:noProof/>
        </w:rPr>
        <mc:AlternateContent>
          <mc:Choice Requires="wps">
            <w:drawing>
              <wp:inline distT="0" distB="0" distL="0" distR="0" wp14:anchorId="1D9337D1" wp14:editId="3035FAF4">
                <wp:extent cx="5751830" cy="628650"/>
                <wp:effectExtent l="0" t="0" r="20320" b="19050"/>
                <wp:docPr id="112146778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628650"/>
                        </a:xfrm>
                        <a:prstGeom prst="rect">
                          <a:avLst/>
                        </a:prstGeom>
                        <a:ln w="12700">
                          <a:solidFill>
                            <a:srgbClr val="003399"/>
                          </a:solidFill>
                          <a:prstDash val="solid"/>
                        </a:ln>
                      </wps:spPr>
                      <wps:txbx>
                        <w:txbxContent>
                          <w:p w14:paraId="54133E23" w14:textId="77777777" w:rsidR="00053B77" w:rsidRPr="00053B77" w:rsidRDefault="00053B77" w:rsidP="00053B77">
                            <w:pPr>
                              <w:pStyle w:val="BodyText"/>
                              <w:rPr>
                                <w:rFonts w:ascii="Open Sans SemiBold" w:eastAsia="Open Sans SemiBold" w:hAnsi="Open Sans SemiBold" w:cs="Open Sans SemiBold"/>
                                <w:bCs/>
                                <w:color w:val="003399"/>
                                <w:sz w:val="24"/>
                                <w:szCs w:val="22"/>
                                <w:lang w:eastAsia="en-US"/>
                              </w:rPr>
                            </w:pPr>
                            <w:r w:rsidRPr="00053B77">
                              <w:rPr>
                                <w:rFonts w:ascii="Open Sans" w:eastAsiaTheme="minorHAnsi" w:hAnsi="Open Sans" w:cstheme="minorBidi"/>
                                <w:color w:val="auto"/>
                                <w:sz w:val="24"/>
                                <w:szCs w:val="22"/>
                                <w:lang w:eastAsia="en-US"/>
                              </w:rPr>
                              <w:t xml:space="preserve">State aid </w:t>
                            </w:r>
                            <w:r w:rsidRPr="00053B77">
                              <w:rPr>
                                <w:rFonts w:ascii="Open Sans SemiBold" w:eastAsia="Open Sans SemiBold" w:hAnsi="Open Sans SemiBold" w:cs="Open Sans SemiBold"/>
                                <w:bCs/>
                                <w:color w:val="003399"/>
                                <w:sz w:val="24"/>
                                <w:szCs w:val="22"/>
                                <w:lang w:eastAsia="en-US"/>
                              </w:rPr>
                              <w:t>will not be awarded if at least one</w:t>
                            </w:r>
                            <w:r w:rsidRPr="00053B77">
                              <w:rPr>
                                <w:rFonts w:ascii="Open Sans" w:eastAsiaTheme="minorHAnsi" w:hAnsi="Open Sans" w:cstheme="minorBidi"/>
                                <w:color w:val="auto"/>
                                <w:sz w:val="24"/>
                                <w:szCs w:val="22"/>
                                <w:lang w:eastAsia="en-US"/>
                              </w:rPr>
                              <w:t xml:space="preserve"> of the above-mentioned criteria </w:t>
                            </w:r>
                            <w:r w:rsidRPr="00053B77">
                              <w:rPr>
                                <w:rFonts w:ascii="Open Sans SemiBold" w:eastAsia="Open Sans SemiBold" w:hAnsi="Open Sans SemiBold" w:cs="Open Sans SemiBold"/>
                                <w:bCs/>
                                <w:color w:val="003399"/>
                                <w:sz w:val="24"/>
                                <w:szCs w:val="22"/>
                                <w:lang w:eastAsia="en-US"/>
                              </w:rPr>
                              <w:t>is not met.</w:t>
                            </w:r>
                          </w:p>
                        </w:txbxContent>
                      </wps:txbx>
                      <wps:bodyPr wrap="square" lIns="0" tIns="0" rIns="0" bIns="0" rtlCol="0">
                        <a:noAutofit/>
                      </wps:bodyPr>
                    </wps:wsp>
                  </a:graphicData>
                </a:graphic>
              </wp:inline>
            </w:drawing>
          </mc:Choice>
          <mc:Fallback>
            <w:pict>
              <v:shape w14:anchorId="1D9337D1" id="_x0000_s1066" type="#_x0000_t202" style="width:452.9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" filled="f" strokecolor="#039" strokeweight="1pt">
                <v:path arrowok="t"/>
                <v:textbox inset="0,0,0,0">
                  <w:txbxContent>
                    <w:p w14:paraId="54133E23" w14:textId="77777777" w:rsidR="00053B77" w:rsidRPr="00053B77" w:rsidRDefault="00053B77" w:rsidP="00053B77">
                      <w:pPr>
                        <w:pStyle w:val="BodyText"/>
                        <w:rPr>
                          <w:rFonts w:ascii="Open Sans SemiBold" w:eastAsia="Open Sans SemiBold" w:hAnsi="Open Sans SemiBold" w:cs="Open Sans SemiBold"/>
                          <w:bCs/>
                          <w:color w:val="003399"/>
                          <w:sz w:val="24"/>
                          <w:szCs w:val="22"/>
                          <w:lang w:eastAsia="en-US"/>
                        </w:rPr>
                      </w:pPr>
                      <w:r w:rsidRPr="00053B77">
                        <w:rPr>
                          <w:rFonts w:ascii="Open Sans" w:eastAsiaTheme="minorHAnsi" w:hAnsi="Open Sans" w:cstheme="minorBidi"/>
                          <w:color w:val="auto"/>
                          <w:sz w:val="24"/>
                          <w:szCs w:val="22"/>
                          <w:lang w:eastAsia="en-US"/>
                        </w:rPr>
                        <w:t xml:space="preserve">State aid </w:t>
                      </w:r>
                      <w:r w:rsidRPr="00053B77">
                        <w:rPr>
                          <w:rFonts w:ascii="Open Sans SemiBold" w:eastAsia="Open Sans SemiBold" w:hAnsi="Open Sans SemiBold" w:cs="Open Sans SemiBold"/>
                          <w:bCs/>
                          <w:color w:val="003399"/>
                          <w:sz w:val="24"/>
                          <w:szCs w:val="22"/>
                          <w:lang w:eastAsia="en-US"/>
                        </w:rPr>
                        <w:t>will not be awarded if at least one</w:t>
                      </w:r>
                      <w:r w:rsidRPr="00053B77">
                        <w:rPr>
                          <w:rFonts w:ascii="Open Sans" w:eastAsiaTheme="minorHAnsi" w:hAnsi="Open Sans" w:cstheme="minorBidi"/>
                          <w:color w:val="auto"/>
                          <w:sz w:val="24"/>
                          <w:szCs w:val="22"/>
                          <w:lang w:eastAsia="en-US"/>
                        </w:rPr>
                        <w:t xml:space="preserve"> of the above-mentioned criteria </w:t>
                      </w:r>
                      <w:r w:rsidRPr="00053B77">
                        <w:rPr>
                          <w:rFonts w:ascii="Open Sans SemiBold" w:eastAsia="Open Sans SemiBold" w:hAnsi="Open Sans SemiBold" w:cs="Open Sans SemiBold"/>
                          <w:bCs/>
                          <w:color w:val="003399"/>
                          <w:sz w:val="24"/>
                          <w:szCs w:val="22"/>
                          <w:lang w:eastAsia="en-US"/>
                        </w:rPr>
                        <w:t>is not met.</w:t>
                      </w:r>
                    </w:p>
                  </w:txbxContent>
                </v:textbox>
                <w10:anchorlock/>
              </v:shape>
            </w:pict>
          </mc:Fallback>
        </mc:AlternateContent>
      </w:r>
    </w:p>
    <w:p w14:paraId="0E1B5C8B" w14:textId="7C9BC5B5" w:rsidR="00D70E5D" w:rsidRPr="00205D6E" w:rsidRDefault="00D70E5D" w:rsidP="003C58C0">
      <w:pPr>
        <w:spacing w:line="360" w:lineRule="auto"/>
      </w:pPr>
      <w:r w:rsidRPr="00205D6E">
        <w:t xml:space="preserve">An </w:t>
      </w:r>
      <w:r w:rsidRPr="00205D6E">
        <w:rPr>
          <w:rFonts w:ascii="Open Sans SemiBold" w:eastAsia="Open Sans SemiBold" w:hAnsi="Open Sans SemiBold" w:cs="Open Sans SemiBold"/>
          <w:bCs/>
          <w:color w:val="003399"/>
        </w:rPr>
        <w:t>undertaking</w:t>
      </w:r>
      <w:r w:rsidRPr="00205D6E">
        <w:t xml:space="preserve"> is each entity who conducts economic activity irrespective of its legal form or financing sources, or the objective of </w:t>
      </w:r>
      <w:r w:rsidR="006C567B" w:rsidRPr="00205D6E">
        <w:t xml:space="preserve">the </w:t>
      </w:r>
      <w:r w:rsidRPr="00205D6E">
        <w:t>activity (generating profit is not crucial in this case).</w:t>
      </w:r>
    </w:p>
    <w:p w14:paraId="0AF8BC61" w14:textId="6EF53510" w:rsidR="00013676" w:rsidRPr="00205D6E" w:rsidRDefault="00D70E5D" w:rsidP="003C58C0">
      <w:pPr>
        <w:spacing w:line="360" w:lineRule="auto"/>
      </w:pPr>
      <w:r w:rsidRPr="00205D6E">
        <w:lastRenderedPageBreak/>
        <w:t xml:space="preserve">An </w:t>
      </w:r>
      <w:r w:rsidRPr="00205D6E">
        <w:rPr>
          <w:rFonts w:ascii="Open Sans SemiBold" w:eastAsia="Open Sans SemiBold" w:hAnsi="Open Sans SemiBold" w:cs="Open Sans SemiBold"/>
          <w:bCs/>
          <w:color w:val="003399"/>
        </w:rPr>
        <w:t>economic activity</w:t>
      </w:r>
      <w:r w:rsidRPr="00205D6E">
        <w:t xml:space="preserve"> is any activity consisting in offering goods and services on the market.</w:t>
      </w:r>
    </w:p>
    <w:p w14:paraId="2E7206B8" w14:textId="401A2223" w:rsidR="00D70E5D" w:rsidRPr="00205D6E" w:rsidRDefault="00013676" w:rsidP="003C58C0">
      <w:pPr>
        <w:pStyle w:val="ListParagraph"/>
        <w:numPr>
          <w:ilvl w:val="0"/>
          <w:numId w:val="20"/>
        </w:numPr>
        <w:spacing w:line="360" w:lineRule="auto"/>
      </w:pPr>
      <w:bookmarkStart w:id="112" w:name="_Hlk99961300"/>
      <w:r w:rsidRPr="00205D6E">
        <w:t>An undertaking can also be</w:t>
      </w:r>
      <w:r w:rsidR="006C567B" w:rsidRPr="00205D6E">
        <w:t>,</w:t>
      </w:r>
      <w:r w:rsidRPr="00205D6E">
        <w:t xml:space="preserve"> e.g.</w:t>
      </w:r>
      <w:r w:rsidR="00FD4A87" w:rsidRPr="00205D6E">
        <w:t xml:space="preserve">, </w:t>
      </w:r>
      <w:r w:rsidRPr="00205D6E">
        <w:t xml:space="preserve">an association, a foundation or a local government unit, if a partner conducts business activity within the project. </w:t>
      </w:r>
      <w:r w:rsidR="006C567B" w:rsidRPr="00205D6E">
        <w:t xml:space="preserve">The </w:t>
      </w:r>
      <w:r w:rsidRPr="00205D6E">
        <w:t xml:space="preserve">legal form of </w:t>
      </w:r>
      <w:r w:rsidR="006C567B" w:rsidRPr="00205D6E">
        <w:t xml:space="preserve">the </w:t>
      </w:r>
      <w:r w:rsidRPr="00205D6E">
        <w:t xml:space="preserve">entity receiving support makes no difference for the assessment of State </w:t>
      </w:r>
      <w:r w:rsidR="00BF5C93" w:rsidRPr="00205D6E">
        <w:t>a</w:t>
      </w:r>
      <w:r w:rsidRPr="00205D6E">
        <w:t>id.</w:t>
      </w:r>
    </w:p>
    <w:p w14:paraId="42E6AF88" w14:textId="1DA4461B" w:rsidR="00D70E5D" w:rsidRPr="00205D6E" w:rsidRDefault="00013676" w:rsidP="003C58C0">
      <w:pPr>
        <w:pStyle w:val="ListParagraph"/>
        <w:numPr>
          <w:ilvl w:val="0"/>
          <w:numId w:val="20"/>
        </w:numPr>
        <w:spacing w:line="360" w:lineRule="auto"/>
      </w:pPr>
      <w:r w:rsidRPr="00205D6E">
        <w:t xml:space="preserve">It is important, whether the activity is performed in conditions of existing or potential competition. </w:t>
      </w:r>
      <w:r w:rsidR="006C567B" w:rsidRPr="00205D6E">
        <w:t xml:space="preserve">In </w:t>
      </w:r>
      <w:r w:rsidRPr="00205D6E">
        <w:t xml:space="preserve">the assessment of </w:t>
      </w:r>
      <w:r w:rsidR="006C567B" w:rsidRPr="00205D6E">
        <w:t xml:space="preserve">the </w:t>
      </w:r>
      <w:r w:rsidRPr="00205D6E">
        <w:t xml:space="preserve">occurrence of State </w:t>
      </w:r>
      <w:r w:rsidR="00BF5C93" w:rsidRPr="00205D6E">
        <w:t>a</w:t>
      </w:r>
      <w:r w:rsidRPr="00205D6E">
        <w:t xml:space="preserve">id, the objective of </w:t>
      </w:r>
      <w:r w:rsidR="006C567B" w:rsidRPr="00205D6E">
        <w:t xml:space="preserve">the </w:t>
      </w:r>
      <w:r w:rsidRPr="00205D6E">
        <w:t xml:space="preserve">activity performed by </w:t>
      </w:r>
      <w:r w:rsidR="006C567B" w:rsidRPr="00205D6E">
        <w:t xml:space="preserve">the </w:t>
      </w:r>
      <w:r w:rsidRPr="00205D6E">
        <w:t xml:space="preserve">specific entity is irrelevant. </w:t>
      </w:r>
    </w:p>
    <w:p w14:paraId="429BF63F" w14:textId="363583EA" w:rsidR="00013676" w:rsidRPr="00F4073F" w:rsidRDefault="00013676" w:rsidP="003C58C0">
      <w:pPr>
        <w:pStyle w:val="ListParagraph"/>
        <w:numPr>
          <w:ilvl w:val="0"/>
          <w:numId w:val="20"/>
        </w:numPr>
        <w:spacing w:line="360" w:lineRule="auto"/>
      </w:pPr>
      <w:r w:rsidRPr="00205D6E">
        <w:t xml:space="preserve">Undertakings not focused on profit can also offer goods and services on the market. Therefore, the fact that a given entity has been established to generate profits is not </w:t>
      </w:r>
      <w:r w:rsidR="006C567B" w:rsidRPr="00205D6E">
        <w:t xml:space="preserve">a </w:t>
      </w:r>
      <w:r w:rsidRPr="00205D6E">
        <w:t xml:space="preserve">prerequisite </w:t>
      </w:r>
      <w:r w:rsidR="006C567B" w:rsidRPr="00205D6E">
        <w:t xml:space="preserve">in deciding </w:t>
      </w:r>
      <w:r w:rsidRPr="00205D6E">
        <w:t xml:space="preserve">on awarding State </w:t>
      </w:r>
      <w:r w:rsidR="00BF5C93" w:rsidRPr="00205D6E">
        <w:t>a</w:t>
      </w:r>
      <w:r w:rsidRPr="00205D6E">
        <w:t>id.</w:t>
      </w:r>
    </w:p>
    <w:p w14:paraId="1F37A855" w14:textId="68C688BE" w:rsidR="00FB0EA3" w:rsidRPr="007879AF" w:rsidRDefault="003774DC" w:rsidP="003C58C0">
      <w:pPr>
        <w:pStyle w:val="Heading3"/>
        <w:spacing w:line="360" w:lineRule="auto"/>
      </w:pPr>
      <w:bookmarkStart w:id="113" w:name="_Toc147242424"/>
      <w:bookmarkEnd w:id="112"/>
      <w:r w:rsidRPr="007879AF">
        <w:t>9</w:t>
      </w:r>
      <w:r w:rsidR="00FB0EA3" w:rsidRPr="007879AF">
        <w:t xml:space="preserve">.2 State </w:t>
      </w:r>
      <w:r w:rsidR="00BF5C93" w:rsidRPr="007879AF">
        <w:t>a</w:t>
      </w:r>
      <w:r w:rsidR="00FB0EA3" w:rsidRPr="007879AF">
        <w:t>id in the Interreg South Baltic Programme</w:t>
      </w:r>
      <w:bookmarkEnd w:id="113"/>
    </w:p>
    <w:p w14:paraId="2C3A26A7" w14:textId="75486CEF" w:rsidR="00FB0EA3" w:rsidRPr="007879AF" w:rsidRDefault="0067111A" w:rsidP="003C58C0">
      <w:pPr>
        <w:spacing w:line="360" w:lineRule="auto"/>
      </w:pPr>
      <w:r w:rsidRPr="007879AF">
        <w:t xml:space="preserve">The </w:t>
      </w:r>
      <w:r w:rsidR="00FB0EA3" w:rsidRPr="007879AF">
        <w:t xml:space="preserve">State </w:t>
      </w:r>
      <w:r w:rsidR="00BF5C93" w:rsidRPr="007879AF">
        <w:t>a</w:t>
      </w:r>
      <w:r w:rsidR="00FB0EA3" w:rsidRPr="007879AF">
        <w:t xml:space="preserve">id is granted under </w:t>
      </w:r>
      <w:r w:rsidR="00DE718D" w:rsidRPr="007879AF">
        <w:t xml:space="preserve">an </w:t>
      </w:r>
      <w:r w:rsidR="00FB0EA3" w:rsidRPr="007879AF">
        <w:t>aid scheme (Ordinance of the Minister of Development Funds and Regional Policy of the Republic of Polan</w:t>
      </w:r>
      <w:r w:rsidR="00250BDA">
        <w:t>d)</w:t>
      </w:r>
      <w:r w:rsidR="00250BDA">
        <w:rPr>
          <w:rStyle w:val="FootnoteReference"/>
          <w:rFonts w:eastAsia="Open Sans" w:cs="Open Sans"/>
          <w:sz w:val="20"/>
          <w:szCs w:val="20"/>
        </w:rPr>
        <w:footnoteReference w:id="43"/>
      </w:r>
      <w:r w:rsidR="00FB0EA3" w:rsidRPr="007879AF">
        <w:t xml:space="preserve">. </w:t>
      </w:r>
    </w:p>
    <w:p w14:paraId="1FCEF268" w14:textId="6F3D018D" w:rsidR="00013676" w:rsidRPr="007879AF" w:rsidRDefault="00013676" w:rsidP="003C58C0">
      <w:pPr>
        <w:spacing w:line="360" w:lineRule="auto"/>
      </w:pPr>
      <w:r w:rsidRPr="007879AF">
        <w:t xml:space="preserve">The aid scheme indicates </w:t>
      </w:r>
      <w:r w:rsidR="00DE718D" w:rsidRPr="007879AF">
        <w:t xml:space="preserve">the </w:t>
      </w:r>
      <w:r w:rsidRPr="007879AF">
        <w:t xml:space="preserve">forms of State </w:t>
      </w:r>
      <w:r w:rsidR="00BF5C93" w:rsidRPr="007879AF">
        <w:t>a</w:t>
      </w:r>
      <w:r w:rsidRPr="007879AF">
        <w:t xml:space="preserve">id </w:t>
      </w:r>
      <w:r w:rsidR="00DE718D" w:rsidRPr="007879AF">
        <w:t>that are</w:t>
      </w:r>
      <w:r w:rsidRPr="007879AF">
        <w:t xml:space="preserve"> awarded to Polish and foreign partners. </w:t>
      </w:r>
      <w:r w:rsidR="00DE6B45" w:rsidRPr="007879AF">
        <w:t>These forms</w:t>
      </w:r>
      <w:r w:rsidRPr="007879AF">
        <w:t xml:space="preserve"> </w:t>
      </w:r>
      <w:r w:rsidR="00DE718D" w:rsidRPr="007879AF">
        <w:t xml:space="preserve">are </w:t>
      </w:r>
      <w:r w:rsidRPr="007879AF">
        <w:t xml:space="preserve">regulated in the </w:t>
      </w:r>
      <w:r w:rsidR="00DE718D" w:rsidRPr="007879AF">
        <w:t xml:space="preserve">following </w:t>
      </w:r>
      <w:r w:rsidRPr="007879AF">
        <w:t>EU regulations:</w:t>
      </w:r>
    </w:p>
    <w:p w14:paraId="01A62D3E" w14:textId="7A31DBD7" w:rsidR="00BF0795" w:rsidRPr="00205D6E" w:rsidRDefault="00013676" w:rsidP="003C58C0">
      <w:pPr>
        <w:pStyle w:val="ListParagraph"/>
        <w:numPr>
          <w:ilvl w:val="0"/>
          <w:numId w:val="20"/>
        </w:numPr>
        <w:spacing w:line="360" w:lineRule="auto"/>
      </w:pPr>
      <w:r w:rsidRPr="00205D6E">
        <w:t>Commission Regulation (EU) No 651/2014 of 17 June 2014 declaring certain categories of aid compatible with the internal market in application of Articles 107 and 108 of the Treaty (hereinafter</w:t>
      </w:r>
      <w:r w:rsidR="00DE718D" w:rsidRPr="00205D6E">
        <w:t>,</w:t>
      </w:r>
      <w:r w:rsidRPr="00205D6E">
        <w:t xml:space="preserve"> ‘GBER’);</w:t>
      </w:r>
    </w:p>
    <w:p w14:paraId="790E28FD" w14:textId="5B91C101" w:rsidR="00013676" w:rsidRPr="00205D6E" w:rsidRDefault="00013676" w:rsidP="003C58C0">
      <w:pPr>
        <w:pStyle w:val="ListParagraph"/>
        <w:numPr>
          <w:ilvl w:val="0"/>
          <w:numId w:val="20"/>
        </w:numPr>
        <w:spacing w:line="360" w:lineRule="auto"/>
      </w:pPr>
      <w:r w:rsidRPr="00205D6E">
        <w:t>Commission Regulation (EU) No 1407/2013 of 18 December 2013 on the application of Articles 107 and 108 of the Treaty on the Functioning of the European Union to de minimis aid.</w:t>
      </w:r>
    </w:p>
    <w:p w14:paraId="730F832F" w14:textId="1C9CCC48" w:rsidR="00B63A7F" w:rsidRPr="007879AF" w:rsidRDefault="0067111A" w:rsidP="003C58C0">
      <w:pPr>
        <w:spacing w:line="360" w:lineRule="auto"/>
      </w:pPr>
      <w:r w:rsidRPr="007879AF">
        <w:lastRenderedPageBreak/>
        <w:t xml:space="preserve">The </w:t>
      </w:r>
      <w:r w:rsidR="00013676" w:rsidRPr="007879AF">
        <w:t>State aid in the Interreg South Baltic Programme is awarded based on the following measures:</w:t>
      </w:r>
    </w:p>
    <w:p w14:paraId="41603393" w14:textId="1E00FCFC" w:rsidR="0072771A" w:rsidRPr="00205D6E" w:rsidRDefault="00013676" w:rsidP="003C58C0">
      <w:pPr>
        <w:pStyle w:val="ListParagraph"/>
        <w:numPr>
          <w:ilvl w:val="0"/>
          <w:numId w:val="20"/>
        </w:numPr>
        <w:spacing w:line="360" w:lineRule="auto"/>
      </w:pPr>
      <w:r w:rsidRPr="00205D6E">
        <w:t>Article 20 GBER up to the amount of EUR 2</w:t>
      </w:r>
      <w:r w:rsidR="00257358" w:rsidRPr="00205D6E">
        <w:t>.</w:t>
      </w:r>
      <w:r w:rsidR="00EA1800" w:rsidRPr="00205D6E">
        <w:t>2</w:t>
      </w:r>
      <w:r w:rsidRPr="00205D6E">
        <w:t xml:space="preserve"> million per undertaking, per project</w:t>
      </w:r>
      <w:r w:rsidR="00F92061">
        <w:rPr>
          <w:rStyle w:val="FootnoteReference"/>
          <w:rFonts w:eastAsia="Open Sans" w:cs="Open Sans"/>
          <w:sz w:val="20"/>
          <w:szCs w:val="20"/>
        </w:rPr>
        <w:footnoteReference w:id="44"/>
      </w:r>
      <w:r w:rsidR="007273B8" w:rsidRPr="00205D6E">
        <w:t xml:space="preserve"> </w:t>
      </w:r>
      <w:r w:rsidRPr="00205D6E">
        <w:t>(direct State aid);</w:t>
      </w:r>
    </w:p>
    <w:p w14:paraId="74F67589" w14:textId="0FA0F949" w:rsidR="00013676" w:rsidRDefault="00013676" w:rsidP="003C58C0">
      <w:pPr>
        <w:pStyle w:val="ListParagraph"/>
        <w:numPr>
          <w:ilvl w:val="0"/>
          <w:numId w:val="20"/>
        </w:numPr>
        <w:spacing w:line="360" w:lineRule="auto"/>
      </w:pPr>
      <w:r w:rsidRPr="00205D6E">
        <w:t>Article 20a GBER up to the amount of EUR 2</w:t>
      </w:r>
      <w:r w:rsidR="00EA1800" w:rsidRPr="00205D6E">
        <w:t>2</w:t>
      </w:r>
      <w:r w:rsidR="007D7A52" w:rsidRPr="00205D6E">
        <w:t xml:space="preserve"> </w:t>
      </w:r>
      <w:r w:rsidR="00DE718D" w:rsidRPr="00205D6E">
        <w:t>000</w:t>
      </w:r>
      <w:r w:rsidRPr="00205D6E">
        <w:t xml:space="preserve"> per undertaking</w:t>
      </w:r>
      <w:r w:rsidR="00DE718D" w:rsidRPr="00205D6E">
        <w:t>,</w:t>
      </w:r>
      <w:r w:rsidRPr="00205D6E">
        <w:t xml:space="preserve"> per project (direct and indirect State aid)</w:t>
      </w:r>
      <w:r w:rsidR="00F92061">
        <w:rPr>
          <w:rStyle w:val="FootnoteReference"/>
          <w:rFonts w:eastAsia="Open Sans" w:cs="Open Sans"/>
          <w:sz w:val="20"/>
          <w:szCs w:val="20"/>
        </w:rPr>
        <w:footnoteReference w:id="45"/>
      </w:r>
      <w:r w:rsidR="00F92061">
        <w:t>.</w:t>
      </w:r>
      <w:r w:rsidRPr="00205D6E">
        <w:t xml:space="preserve"> </w:t>
      </w:r>
    </w:p>
    <w:p w14:paraId="509E9B82" w14:textId="6CC91700" w:rsidR="007879AF" w:rsidRDefault="0060298F" w:rsidP="003C58C0">
      <w:pPr>
        <w:spacing w:line="360" w:lineRule="auto"/>
      </w:pPr>
      <w:r w:rsidRPr="00F4073F">
        <w:rPr>
          <w:noProof/>
        </w:rPr>
        <mc:AlternateContent>
          <mc:Choice Requires="wps">
            <w:drawing>
              <wp:inline distT="0" distB="0" distL="0" distR="0" wp14:anchorId="79845162" wp14:editId="64331C81">
                <wp:extent cx="5704840" cy="1114425"/>
                <wp:effectExtent l="0" t="0" r="10160" b="28575"/>
                <wp:docPr id="1441080038"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4840" cy="1114425"/>
                        </a:xfrm>
                        <a:prstGeom prst="rect">
                          <a:avLst/>
                        </a:prstGeom>
                        <a:ln w="12700">
                          <a:solidFill>
                            <a:srgbClr val="003399"/>
                          </a:solidFill>
                          <a:prstDash val="solid"/>
                        </a:ln>
                      </wps:spPr>
                      <wps:txbx>
                        <w:txbxContent>
                          <w:p w14:paraId="409AF8AF" w14:textId="77777777" w:rsidR="0060298F" w:rsidRPr="00053B77" w:rsidRDefault="0060298F" w:rsidP="0060298F">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144316A9" w14:textId="77777777" w:rsidR="0060298F" w:rsidRPr="00053B77" w:rsidRDefault="0060298F" w:rsidP="0060298F">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De minimis aid constitutes a special category of aid awarded by the state. It is considered that due to its small value, it does not result in distortion of competition on the EU internal market.</w:t>
                            </w:r>
                          </w:p>
                        </w:txbxContent>
                      </wps:txbx>
                      <wps:bodyPr wrap="square" lIns="0" tIns="0" rIns="0" bIns="0" rtlCol="0">
                        <a:noAutofit/>
                      </wps:bodyPr>
                    </wps:wsp>
                  </a:graphicData>
                </a:graphic>
              </wp:inline>
            </w:drawing>
          </mc:Choice>
          <mc:Fallback>
            <w:pict>
              <v:shape w14:anchorId="79845162" id="_x0000_s1067" type="#_x0000_t202" style="width:449.2pt;height:8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" filled="f" strokecolor="#039" strokeweight="1pt">
                <v:path arrowok="t"/>
                <v:textbox inset="0,0,0,0">
                  <w:txbxContent>
                    <w:p w14:paraId="409AF8AF" w14:textId="77777777" w:rsidR="0060298F" w:rsidRPr="00053B77" w:rsidRDefault="0060298F" w:rsidP="0060298F">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144316A9" w14:textId="77777777" w:rsidR="0060298F" w:rsidRPr="00053B77" w:rsidRDefault="0060298F" w:rsidP="0060298F">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De minimis aid constitutes a special category of aid awarded by the state. It is considered that due to its small value, it does not result in distortion of competition on the EU internal market.</w:t>
                      </w:r>
                    </w:p>
                  </w:txbxContent>
                </v:textbox>
                <w10:anchorlock/>
              </v:shape>
            </w:pict>
          </mc:Fallback>
        </mc:AlternateContent>
      </w:r>
    </w:p>
    <w:p w14:paraId="743D0485" w14:textId="766660DB" w:rsidR="00013676" w:rsidRPr="00053B77" w:rsidRDefault="00013676" w:rsidP="003C58C0">
      <w:pPr>
        <w:spacing w:line="360" w:lineRule="auto"/>
        <w:rPr>
          <w:rFonts w:ascii="Open Sans SemiBold" w:eastAsia="Open Sans SemiBold" w:hAnsi="Open Sans SemiBold" w:cs="Open Sans SemiBold"/>
          <w:bCs/>
          <w:color w:val="003399"/>
        </w:rPr>
      </w:pPr>
      <w:r w:rsidRPr="00053B77">
        <w:rPr>
          <w:rFonts w:ascii="Open Sans SemiBold" w:eastAsia="Open Sans SemiBold" w:hAnsi="Open Sans SemiBold" w:cs="Open Sans SemiBold"/>
          <w:bCs/>
          <w:color w:val="003399"/>
        </w:rPr>
        <w:t>De minimis aid:</w:t>
      </w:r>
    </w:p>
    <w:p w14:paraId="7EB1E2E7" w14:textId="51B724CF" w:rsidR="0072771A" w:rsidRPr="007879AF" w:rsidRDefault="00283CF2" w:rsidP="003C58C0">
      <w:pPr>
        <w:pStyle w:val="ListParagraph"/>
        <w:numPr>
          <w:ilvl w:val="0"/>
          <w:numId w:val="20"/>
        </w:numPr>
        <w:spacing w:line="360" w:lineRule="auto"/>
      </w:pPr>
      <w:r>
        <w:t>I</w:t>
      </w:r>
      <w:r w:rsidR="00DE718D" w:rsidRPr="007879AF">
        <w:t xml:space="preserve">s available in </w:t>
      </w:r>
      <w:r w:rsidR="00013676" w:rsidRPr="007879AF">
        <w:t>amounts up to EUR 200</w:t>
      </w:r>
      <w:r w:rsidR="00DD3472">
        <w:t xml:space="preserve"> </w:t>
      </w:r>
      <w:r w:rsidR="00013676" w:rsidRPr="007879AF">
        <w:t>000 (EUR 100</w:t>
      </w:r>
      <w:r w:rsidR="00DD3472">
        <w:t xml:space="preserve"> </w:t>
      </w:r>
      <w:r w:rsidR="00013676" w:rsidRPr="007879AF">
        <w:t>000 for the sector of road freight of goods) from one Member State</w:t>
      </w:r>
      <w:r>
        <w:t>.</w:t>
      </w:r>
    </w:p>
    <w:p w14:paraId="2B57AD13" w14:textId="4B9533DA" w:rsidR="0072771A" w:rsidRPr="007879AF" w:rsidRDefault="00283CF2" w:rsidP="003C58C0">
      <w:pPr>
        <w:pStyle w:val="ListParagraph"/>
        <w:numPr>
          <w:ilvl w:val="0"/>
          <w:numId w:val="20"/>
        </w:numPr>
        <w:spacing w:line="360" w:lineRule="auto"/>
      </w:pPr>
      <w:r>
        <w:t>I</w:t>
      </w:r>
      <w:r w:rsidR="00013676" w:rsidRPr="007879AF">
        <w:t xml:space="preserve">s awarded to the undertaking within </w:t>
      </w:r>
      <w:r w:rsidR="00DE718D" w:rsidRPr="007879AF">
        <w:t xml:space="preserve">the </w:t>
      </w:r>
      <w:r w:rsidR="00013676" w:rsidRPr="007879AF">
        <w:t>last three fiscal years</w:t>
      </w:r>
      <w:r>
        <w:t>.</w:t>
      </w:r>
    </w:p>
    <w:p w14:paraId="117C5913" w14:textId="79FF16B0" w:rsidR="00C84BA0" w:rsidRPr="00C84BA0" w:rsidRDefault="00283CF2" w:rsidP="003C58C0">
      <w:pPr>
        <w:pStyle w:val="ListParagraph"/>
        <w:numPr>
          <w:ilvl w:val="0"/>
          <w:numId w:val="20"/>
        </w:numPr>
        <w:spacing w:line="360" w:lineRule="auto"/>
      </w:pPr>
      <w:r>
        <w:t>Is</w:t>
      </w:r>
      <w:r w:rsidR="00DE718D" w:rsidRPr="007879AF">
        <w:t xml:space="preserve"> </w:t>
      </w:r>
      <w:r w:rsidR="00013676" w:rsidRPr="007879AF">
        <w:t>limit</w:t>
      </w:r>
      <w:r w:rsidR="00DE718D" w:rsidRPr="007879AF">
        <w:t>ed</w:t>
      </w:r>
      <w:r w:rsidR="00013676" w:rsidRPr="007879AF">
        <w:t xml:space="preserve"> </w:t>
      </w:r>
      <w:r w:rsidR="00DE718D" w:rsidRPr="007879AF">
        <w:t xml:space="preserve">concerning </w:t>
      </w:r>
      <w:r w:rsidR="00013676" w:rsidRPr="007879AF">
        <w:t xml:space="preserve">one undertaking (all entities legally influenced by another one are treated </w:t>
      </w:r>
      <w:r w:rsidR="00013676" w:rsidRPr="00F92061">
        <w:t xml:space="preserve">as one undertaking). </w:t>
      </w:r>
    </w:p>
    <w:p w14:paraId="112B4F6D" w14:textId="77777777" w:rsidR="002E4CB4" w:rsidRPr="00F92061" w:rsidRDefault="002E4CB4" w:rsidP="003C58C0">
      <w:pPr>
        <w:spacing w:line="360" w:lineRule="auto"/>
      </w:pPr>
      <w:r w:rsidRPr="00F92061">
        <w:t>Restriction to de minimis aid granted based on regulation 1407/2013:</w:t>
      </w:r>
    </w:p>
    <w:p w14:paraId="4592B3C2" w14:textId="7A684B78" w:rsidR="002E4CB4" w:rsidRPr="00F92061" w:rsidRDefault="00283CF2" w:rsidP="003C58C0">
      <w:pPr>
        <w:pStyle w:val="ListParagraph"/>
        <w:numPr>
          <w:ilvl w:val="0"/>
          <w:numId w:val="20"/>
        </w:numPr>
        <w:spacing w:line="360" w:lineRule="auto"/>
      </w:pPr>
      <w:r>
        <w:t>C</w:t>
      </w:r>
      <w:r w:rsidR="002E4CB4" w:rsidRPr="00F92061">
        <w:t xml:space="preserve">annot be awarded </w:t>
      </w:r>
      <w:r w:rsidR="00AA2221" w:rsidRPr="00F92061">
        <w:t xml:space="preserve">to </w:t>
      </w:r>
      <w:r w:rsidR="002E4CB4" w:rsidRPr="00F92061">
        <w:t>undertakings active in the sectors of primary production of agricultural products, fishery, and aquaculture</w:t>
      </w:r>
      <w:r>
        <w:t>.</w:t>
      </w:r>
      <w:r w:rsidR="00F92061" w:rsidRPr="00F92061">
        <w:rPr>
          <w:rStyle w:val="FootnoteReference"/>
          <w:rFonts w:eastAsia="Open Sans" w:cs="Open Sans"/>
          <w:sz w:val="20"/>
          <w:szCs w:val="20"/>
        </w:rPr>
        <w:footnoteReference w:id="46"/>
      </w:r>
    </w:p>
    <w:p w14:paraId="2806E4EE" w14:textId="1CF96C6A" w:rsidR="002E4CB4" w:rsidRPr="00F92061" w:rsidRDefault="00283CF2" w:rsidP="003C58C0">
      <w:pPr>
        <w:pStyle w:val="ListParagraph"/>
        <w:numPr>
          <w:ilvl w:val="0"/>
          <w:numId w:val="20"/>
        </w:numPr>
        <w:spacing w:line="360" w:lineRule="auto"/>
      </w:pPr>
      <w:r>
        <w:lastRenderedPageBreak/>
        <w:t>C</w:t>
      </w:r>
      <w:r w:rsidR="002E4CB4" w:rsidRPr="00F92061">
        <w:t>annot be used for the acquisition of road freight transport vehicles</w:t>
      </w:r>
      <w:r w:rsidR="00272D1D" w:rsidRPr="00F92061">
        <w:t>;</w:t>
      </w:r>
    </w:p>
    <w:p w14:paraId="2B8954EE" w14:textId="2FCAEE1A" w:rsidR="002E4CB4" w:rsidRPr="007879AF" w:rsidRDefault="00283CF2" w:rsidP="003C58C0">
      <w:pPr>
        <w:pStyle w:val="ListParagraph"/>
        <w:numPr>
          <w:ilvl w:val="0"/>
          <w:numId w:val="20"/>
        </w:numPr>
        <w:spacing w:line="360" w:lineRule="auto"/>
      </w:pPr>
      <w:r>
        <w:t>C</w:t>
      </w:r>
      <w:r w:rsidR="002E4CB4" w:rsidRPr="00F92061">
        <w:t>annot be cumulated with any other State aid given towards the same eligible costs if it means that due to such cumulation</w:t>
      </w:r>
      <w:r w:rsidR="00E63F15" w:rsidRPr="00F92061">
        <w:t>,</w:t>
      </w:r>
      <w:r w:rsidR="002E4CB4" w:rsidRPr="00F92061">
        <w:t xml:space="preserve"> the maximum intensity</w:t>
      </w:r>
      <w:r w:rsidR="002E4CB4" w:rsidRPr="007879AF">
        <w:t xml:space="preserve"> of aid granted under </w:t>
      </w:r>
      <w:r w:rsidR="00E63F15" w:rsidRPr="007879AF">
        <w:t xml:space="preserve">the </w:t>
      </w:r>
      <w:r w:rsidR="002E4CB4" w:rsidRPr="007879AF">
        <w:t>GBER is exceeded.</w:t>
      </w:r>
    </w:p>
    <w:p w14:paraId="1E5990D2" w14:textId="74F22F83" w:rsidR="007879AF" w:rsidRDefault="00E63F15" w:rsidP="003C58C0">
      <w:pPr>
        <w:spacing w:line="360" w:lineRule="auto"/>
      </w:pPr>
      <w:r w:rsidRPr="007879AF">
        <w:t xml:space="preserve">The decision </w:t>
      </w:r>
      <w:r w:rsidR="00013676" w:rsidRPr="007879AF">
        <w:t xml:space="preserve">on awarding State aid and de minimis aid in the Interreg South Baltic Programme is taken by signing the </w:t>
      </w:r>
      <w:r w:rsidR="00FD4A87" w:rsidRPr="007879AF">
        <w:t>S</w:t>
      </w:r>
      <w:r w:rsidR="00013676" w:rsidRPr="007879AF">
        <w:t xml:space="preserve">ubsidy </w:t>
      </w:r>
      <w:r w:rsidR="00FD4A87" w:rsidRPr="007879AF">
        <w:t>C</w:t>
      </w:r>
      <w:r w:rsidR="00013676" w:rsidRPr="007879AF">
        <w:t>ontract.</w:t>
      </w:r>
    </w:p>
    <w:p w14:paraId="72745DA0" w14:textId="167A8933" w:rsidR="00F92061" w:rsidRPr="00F92061" w:rsidRDefault="00F92061" w:rsidP="003C58C0">
      <w:pPr>
        <w:spacing w:line="360" w:lineRule="auto"/>
      </w:pPr>
      <w:r w:rsidRPr="00F92061">
        <w:t xml:space="preserve">State aid and </w:t>
      </w:r>
      <w:r w:rsidRPr="00F92061">
        <w:rPr>
          <w:rFonts w:ascii="Open Sans SemiBold" w:eastAsia="Open Sans SemiBold" w:hAnsi="Open Sans SemiBold" w:cs="Open Sans SemiBold"/>
          <w:bCs/>
          <w:color w:val="003399"/>
        </w:rPr>
        <w:t>de minimis aid can be awarded directly</w:t>
      </w:r>
      <w:r w:rsidRPr="00F92061">
        <w:t xml:space="preserve"> by the Managing Authority, or </w:t>
      </w:r>
      <w:r w:rsidRPr="00F92061">
        <w:rPr>
          <w:rFonts w:ascii="Open Sans SemiBold" w:eastAsia="Open Sans SemiBold" w:hAnsi="Open Sans SemiBold" w:cs="Open Sans SemiBold"/>
          <w:bCs/>
          <w:color w:val="003399"/>
        </w:rPr>
        <w:t>indirectly</w:t>
      </w:r>
      <w:r w:rsidRPr="00F92061">
        <w:t xml:space="preserve"> by the project partner to the final recipient (an undertaking conducting economic activity in compliance with the definition of State aid</w:t>
      </w:r>
      <w:r>
        <w:rPr>
          <w:rStyle w:val="FootnoteReference"/>
          <w:rFonts w:eastAsia="Open Sans" w:cs="Open Sans"/>
          <w:sz w:val="20"/>
          <w:szCs w:val="20"/>
        </w:rPr>
        <w:footnoteReference w:id="47"/>
      </w:r>
      <w:r w:rsidRPr="00F92061">
        <w:t>). Indirect aid includes, e.g., participation in a training or workshops implemented within a project. In these workshops, a benefit (e.g., specific knowledge, skills or rights, licences) is received not by the project partner but by the final recipient in the project. The so-called final recipient receives economic advantage which would have to be paid for under normal market conditions.</w:t>
      </w:r>
    </w:p>
    <w:p w14:paraId="47BED63F" w14:textId="24F8814E" w:rsidR="00C87DBF" w:rsidRPr="007879AF" w:rsidRDefault="003774DC" w:rsidP="003C58C0">
      <w:pPr>
        <w:pStyle w:val="Heading3"/>
        <w:spacing w:line="360" w:lineRule="auto"/>
      </w:pPr>
      <w:bookmarkStart w:id="116" w:name="_Toc147242425"/>
      <w:r w:rsidRPr="007879AF">
        <w:t>9</w:t>
      </w:r>
      <w:r w:rsidR="00C87DBF" w:rsidRPr="007879AF">
        <w:t xml:space="preserve">.3 </w:t>
      </w:r>
      <w:r w:rsidR="008D2C4F" w:rsidRPr="007879AF">
        <w:t>I</w:t>
      </w:r>
      <w:r w:rsidR="00C87DBF" w:rsidRPr="007879AF">
        <w:t>ntensity level of aid</w:t>
      </w:r>
      <w:bookmarkEnd w:id="116"/>
    </w:p>
    <w:p w14:paraId="00147EEE" w14:textId="7A8A5BED" w:rsidR="008F1C97" w:rsidRPr="007879AF" w:rsidRDefault="00013676" w:rsidP="003C58C0">
      <w:pPr>
        <w:spacing w:line="360" w:lineRule="auto"/>
      </w:pPr>
      <w:r w:rsidRPr="007879AF">
        <w:t>The intensity level is the maximum amount of all cumulated public funding (e.g.</w:t>
      </w:r>
      <w:r w:rsidR="008F1C97" w:rsidRPr="007879AF">
        <w:t>,</w:t>
      </w:r>
      <w:r w:rsidRPr="007879AF">
        <w:t xml:space="preserve"> State aid and de minimis aid) that a project is permitted to receive in relation to the project budget (the same eligible expenditures). This amount is expressed </w:t>
      </w:r>
      <w:r w:rsidR="00800417" w:rsidRPr="007879AF">
        <w:t xml:space="preserve">as a </w:t>
      </w:r>
      <w:r w:rsidRPr="007879AF">
        <w:t xml:space="preserve">percentage. Breaching the limit may mean that any State aid given in excess of the permissible amount </w:t>
      </w:r>
      <w:r w:rsidR="00A47A87" w:rsidRPr="007879AF">
        <w:t>must</w:t>
      </w:r>
      <w:r w:rsidRPr="007879AF">
        <w:t xml:space="preserve"> be returned.</w:t>
      </w:r>
    </w:p>
    <w:p w14:paraId="1A8EDADB" w14:textId="77777777" w:rsidR="004676B1" w:rsidRDefault="004676B1" w:rsidP="003C58C0">
      <w:pPr>
        <w:spacing w:line="360" w:lineRule="auto"/>
      </w:pPr>
      <w:r>
        <w:br w:type="page"/>
      </w:r>
    </w:p>
    <w:p w14:paraId="1375CB57" w14:textId="690C5E69" w:rsidR="007879AF" w:rsidRDefault="00013676" w:rsidP="003C58C0">
      <w:pPr>
        <w:spacing w:line="360" w:lineRule="auto"/>
      </w:pPr>
      <w:r w:rsidRPr="007879AF">
        <w:lastRenderedPageBreak/>
        <w:t>Cumulation of State aid with the maximum aid intensity and de minimis aid is possible in the project only when those different aid measure</w:t>
      </w:r>
      <w:r w:rsidR="00800417" w:rsidRPr="007879AF">
        <w:t>s</w:t>
      </w:r>
      <w:r w:rsidRPr="007879AF">
        <w:t xml:space="preserve"> concern different</w:t>
      </w:r>
      <w:r w:rsidR="004676B1">
        <w:t xml:space="preserve"> i</w:t>
      </w:r>
      <w:r w:rsidRPr="007879AF">
        <w:t>dentifiable eligible expenditures</w:t>
      </w:r>
      <w:r w:rsidR="00800417" w:rsidRPr="007879AF">
        <w:t>.</w:t>
      </w:r>
      <w:r w:rsidR="000D3ECA">
        <w:rPr>
          <w:rStyle w:val="FootnoteReference"/>
          <w:rFonts w:eastAsia="Open Sans" w:cs="Open Sans"/>
          <w:sz w:val="20"/>
          <w:szCs w:val="20"/>
        </w:rPr>
        <w:footnoteReference w:id="48"/>
      </w:r>
      <w:r w:rsidR="00053B77" w:rsidRPr="00053B77">
        <w:rPr>
          <w:noProof/>
        </w:rPr>
        <w:t xml:space="preserve"> </w:t>
      </w:r>
      <w:r w:rsidR="00053B77">
        <w:rPr>
          <w:noProof/>
        </w:rPr>
        <mc:AlternateContent>
          <mc:Choice Requires="wps">
            <w:drawing>
              <wp:inline distT="0" distB="0" distL="0" distR="0" wp14:anchorId="581326D7" wp14:editId="71C5DF7E">
                <wp:extent cx="5772150" cy="1533525"/>
                <wp:effectExtent l="0" t="0" r="19050" b="28575"/>
                <wp:docPr id="1969234373"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533525"/>
                        </a:xfrm>
                        <a:prstGeom prst="rect">
                          <a:avLst/>
                        </a:prstGeom>
                        <a:ln w="12700">
                          <a:solidFill>
                            <a:srgbClr val="003399"/>
                          </a:solidFill>
                          <a:prstDash val="solid"/>
                        </a:ln>
                      </wps:spPr>
                      <wps:txbx>
                        <w:txbxContent>
                          <w:p w14:paraId="74AC92EF" w14:textId="77777777" w:rsidR="00053B77" w:rsidRPr="00053B77" w:rsidRDefault="00053B77" w:rsidP="00053B77">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1B8DCF91" w14:textId="77777777" w:rsidR="00053B77" w:rsidRPr="00053B77" w:rsidRDefault="00053B77" w:rsidP="00053B77">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 xml:space="preserve">The </w:t>
                            </w:r>
                            <w:r w:rsidRPr="00053B77">
                              <w:rPr>
                                <w:rFonts w:ascii="Open Sans SemiBold" w:eastAsia="Open Sans SemiBold" w:hAnsi="Open Sans SemiBold" w:cs="Open Sans SemiBold"/>
                                <w:bCs/>
                                <w:color w:val="003399"/>
                                <w:sz w:val="24"/>
                                <w:lang w:eastAsia="en-US"/>
                              </w:rPr>
                              <w:t>maximum State aid intensity in the programme can amount to up to 80 %</w:t>
                            </w:r>
                            <w:r w:rsidRPr="00053B77">
                              <w:rPr>
                                <w:rFonts w:ascii="Open Sans" w:eastAsiaTheme="minorHAnsi" w:hAnsi="Open Sans" w:cstheme="minorBidi"/>
                                <w:color w:val="auto"/>
                                <w:sz w:val="32"/>
                                <w:szCs w:val="28"/>
                                <w:lang w:eastAsia="en-US"/>
                              </w:rPr>
                              <w:t xml:space="preserve"> </w:t>
                            </w:r>
                            <w:r w:rsidRPr="00053B77">
                              <w:rPr>
                                <w:rFonts w:ascii="Open Sans" w:eastAsiaTheme="minorHAnsi" w:hAnsi="Open Sans" w:cstheme="minorBidi"/>
                                <w:color w:val="auto"/>
                                <w:sz w:val="24"/>
                                <w:szCs w:val="22"/>
                                <w:lang w:eastAsia="en-US"/>
                              </w:rPr>
                              <w:t>(the same as the level of financing from the ERDF). If the maximum level of State aid is awarded in the project, there is no room for cumulation with other state aid or de minimis awarded in the same country for the same eligible expenditure in the project.</w:t>
                            </w:r>
                          </w:p>
                        </w:txbxContent>
                      </wps:txbx>
                      <wps:bodyPr wrap="square" lIns="0" tIns="0" rIns="0" bIns="0" rtlCol="0">
                        <a:noAutofit/>
                      </wps:bodyPr>
                    </wps:wsp>
                  </a:graphicData>
                </a:graphic>
              </wp:inline>
            </w:drawing>
          </mc:Choice>
          <mc:Fallback>
            <w:pict>
              <v:shape w14:anchorId="581326D7" id="_x0000_s1068" type="#_x0000_t202" style="width:454.5pt;height:1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" filled="f" strokecolor="#039" strokeweight="1pt">
                <v:path arrowok="t"/>
                <v:textbox inset="0,0,0,0">
                  <w:txbxContent>
                    <w:p w14:paraId="74AC92EF" w14:textId="77777777" w:rsidR="00053B77" w:rsidRPr="00053B77" w:rsidRDefault="00053B77" w:rsidP="00053B77">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1B8DCF91" w14:textId="77777777" w:rsidR="00053B77" w:rsidRPr="00053B77" w:rsidRDefault="00053B77" w:rsidP="00053B77">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 xml:space="preserve">The </w:t>
                      </w:r>
                      <w:r w:rsidRPr="00053B77">
                        <w:rPr>
                          <w:rFonts w:ascii="Open Sans SemiBold" w:eastAsia="Open Sans SemiBold" w:hAnsi="Open Sans SemiBold" w:cs="Open Sans SemiBold"/>
                          <w:bCs/>
                          <w:color w:val="003399"/>
                          <w:sz w:val="24"/>
                          <w:lang w:eastAsia="en-US"/>
                        </w:rPr>
                        <w:t>maximum State aid intensity in the programme can amount to up to 80 %</w:t>
                      </w:r>
                      <w:r w:rsidRPr="00053B77">
                        <w:rPr>
                          <w:rFonts w:ascii="Open Sans" w:eastAsiaTheme="minorHAnsi" w:hAnsi="Open Sans" w:cstheme="minorBidi"/>
                          <w:color w:val="auto"/>
                          <w:sz w:val="32"/>
                          <w:szCs w:val="28"/>
                          <w:lang w:eastAsia="en-US"/>
                        </w:rPr>
                        <w:t xml:space="preserve"> </w:t>
                      </w:r>
                      <w:r w:rsidRPr="00053B77">
                        <w:rPr>
                          <w:rFonts w:ascii="Open Sans" w:eastAsiaTheme="minorHAnsi" w:hAnsi="Open Sans" w:cstheme="minorBidi"/>
                          <w:color w:val="auto"/>
                          <w:sz w:val="24"/>
                          <w:szCs w:val="22"/>
                          <w:lang w:eastAsia="en-US"/>
                        </w:rPr>
                        <w:t>(the same as the level of financing from the ERDF). If the maximum level of State aid is awarded in the project, there is no room for cumulation with other state aid or de minimis awarded in the same country for the same eligible expenditure in the project.</w:t>
                      </w:r>
                    </w:p>
                  </w:txbxContent>
                </v:textbox>
                <w10:anchorlock/>
              </v:shape>
            </w:pict>
          </mc:Fallback>
        </mc:AlternateContent>
      </w:r>
    </w:p>
    <w:p w14:paraId="4684C39B" w14:textId="17FB881A" w:rsidR="008F1C97" w:rsidRPr="007879AF" w:rsidRDefault="003774DC" w:rsidP="003C58C0">
      <w:pPr>
        <w:pStyle w:val="Heading3"/>
        <w:spacing w:line="360" w:lineRule="auto"/>
      </w:pPr>
      <w:bookmarkStart w:id="117" w:name="_Toc147242426"/>
      <w:r w:rsidRPr="007879AF">
        <w:t>9</w:t>
      </w:r>
      <w:r w:rsidR="008F1C97" w:rsidRPr="007879AF">
        <w:t>.4 De minimis aid and its cumulation</w:t>
      </w:r>
      <w:bookmarkEnd w:id="117"/>
    </w:p>
    <w:p w14:paraId="42077FCA" w14:textId="77777777" w:rsidR="00013676" w:rsidRPr="009F1F3B" w:rsidRDefault="00013676" w:rsidP="003C58C0">
      <w:pPr>
        <w:spacing w:line="360" w:lineRule="auto"/>
      </w:pPr>
      <w:r w:rsidRPr="009F1F3B">
        <w:rPr>
          <w:rFonts w:eastAsia="Open Sans" w:cs="Open Sans"/>
        </w:rPr>
        <w:t xml:space="preserve">Project partners </w:t>
      </w:r>
      <w:r w:rsidRPr="00053B77">
        <w:rPr>
          <w:rFonts w:ascii="Open Sans SemiBold" w:eastAsia="Open Sans SemiBold" w:hAnsi="Open Sans SemiBold" w:cs="Open Sans SemiBold"/>
          <w:bCs/>
          <w:color w:val="003399"/>
          <w:szCs w:val="24"/>
        </w:rPr>
        <w:t>outside the territory of Poland</w:t>
      </w:r>
      <w:r w:rsidRPr="009F1F3B">
        <w:t>:</w:t>
      </w:r>
    </w:p>
    <w:p w14:paraId="0FD0D9E6" w14:textId="69DCDDC7" w:rsidR="00391FF1" w:rsidRPr="009F1F3B" w:rsidRDefault="00283CF2" w:rsidP="003C58C0">
      <w:pPr>
        <w:pStyle w:val="ListParagraph"/>
        <w:numPr>
          <w:ilvl w:val="0"/>
          <w:numId w:val="20"/>
        </w:numPr>
        <w:spacing w:line="360" w:lineRule="auto"/>
      </w:pPr>
      <w:r>
        <w:t>C</w:t>
      </w:r>
      <w:r w:rsidR="00013676" w:rsidRPr="009F1F3B">
        <w:t xml:space="preserve">an receive </w:t>
      </w:r>
      <w:r w:rsidR="00800417" w:rsidRPr="009F1F3B">
        <w:t xml:space="preserve">de minimis aid </w:t>
      </w:r>
      <w:r w:rsidR="00013676" w:rsidRPr="009F1F3B">
        <w:t xml:space="preserve">from the </w:t>
      </w:r>
      <w:r w:rsidR="00FD4A87" w:rsidRPr="009F1F3B">
        <w:t>M</w:t>
      </w:r>
      <w:r w:rsidR="00013676" w:rsidRPr="009F1F3B">
        <w:t xml:space="preserve">anaging </w:t>
      </w:r>
      <w:r w:rsidR="00FD4A87" w:rsidRPr="009F1F3B">
        <w:t>A</w:t>
      </w:r>
      <w:r w:rsidR="00013676" w:rsidRPr="009F1F3B">
        <w:t xml:space="preserve">uthority provided that they have not exceeded the limit of EUR 200,000 in the period of </w:t>
      </w:r>
      <w:r w:rsidR="00800417" w:rsidRPr="009F1F3B">
        <w:t xml:space="preserve">the </w:t>
      </w:r>
      <w:r w:rsidR="00013676" w:rsidRPr="009F1F3B">
        <w:t>last 3 fiscal years (within ERDF</w:t>
      </w:r>
      <w:r w:rsidR="00013676" w:rsidRPr="00517926">
        <w:rPr>
          <w:rFonts w:ascii="Segoe UI" w:hAnsi="Segoe UI" w:cs="Segoe UI"/>
        </w:rPr>
        <w:t xml:space="preserve"> </w:t>
      </w:r>
      <w:r w:rsidR="00013676" w:rsidRPr="009F1F3B">
        <w:t xml:space="preserve">co-financing). They can also use de minimis aid to cover their own contribution </w:t>
      </w:r>
      <w:r w:rsidR="00800417" w:rsidRPr="009F1F3B">
        <w:t xml:space="preserve">to </w:t>
      </w:r>
      <w:r w:rsidR="00013676" w:rsidRPr="009F1F3B">
        <w:t>a project if it is awarded by state institutions from their country of origin</w:t>
      </w:r>
      <w:r>
        <w:t>.</w:t>
      </w:r>
    </w:p>
    <w:p w14:paraId="01361F70" w14:textId="605F2301" w:rsidR="00013676" w:rsidRPr="009F1F3B" w:rsidRDefault="00283CF2" w:rsidP="003C58C0">
      <w:pPr>
        <w:pStyle w:val="ListParagraph"/>
        <w:numPr>
          <w:ilvl w:val="0"/>
          <w:numId w:val="20"/>
        </w:numPr>
        <w:spacing w:line="360" w:lineRule="auto"/>
      </w:pPr>
      <w:r>
        <w:t>D</w:t>
      </w:r>
      <w:r w:rsidR="00013676" w:rsidRPr="009F1F3B">
        <w:t xml:space="preserve">e minimis aid awarded in Poland and in </w:t>
      </w:r>
      <w:r w:rsidR="00800417" w:rsidRPr="009F1F3B">
        <w:t xml:space="preserve">a </w:t>
      </w:r>
      <w:r w:rsidR="00013676" w:rsidRPr="009F1F3B">
        <w:t>partner’s own country do not cumulate.</w:t>
      </w:r>
    </w:p>
    <w:p w14:paraId="1460AC49" w14:textId="77777777" w:rsidR="00013676" w:rsidRPr="00053B77" w:rsidRDefault="00013676" w:rsidP="003C58C0">
      <w:pPr>
        <w:pStyle w:val="CommentText"/>
        <w:spacing w:line="360" w:lineRule="auto"/>
        <w:rPr>
          <w:sz w:val="24"/>
          <w:szCs w:val="22"/>
        </w:rPr>
      </w:pPr>
      <w:r w:rsidRPr="00053B77">
        <w:rPr>
          <w:sz w:val="24"/>
          <w:szCs w:val="22"/>
        </w:rPr>
        <w:t xml:space="preserve">Partners from </w:t>
      </w:r>
      <w:r w:rsidRPr="00053B77">
        <w:rPr>
          <w:rFonts w:ascii="Open Sans SemiBold" w:eastAsia="Open Sans SemiBold" w:hAnsi="Open Sans SemiBold" w:cs="Open Sans SemiBold"/>
          <w:bCs/>
          <w:color w:val="003399"/>
          <w:sz w:val="24"/>
          <w:szCs w:val="24"/>
        </w:rPr>
        <w:t>the territory of Poland</w:t>
      </w:r>
      <w:r w:rsidRPr="00053B77">
        <w:rPr>
          <w:sz w:val="24"/>
          <w:szCs w:val="22"/>
        </w:rPr>
        <w:t>:</w:t>
      </w:r>
    </w:p>
    <w:p w14:paraId="0F231432" w14:textId="1F4811AF" w:rsidR="000F12CF" w:rsidRDefault="00283CF2" w:rsidP="003C58C0">
      <w:pPr>
        <w:pStyle w:val="ListParagraph"/>
        <w:numPr>
          <w:ilvl w:val="0"/>
          <w:numId w:val="20"/>
        </w:numPr>
        <w:spacing w:line="360" w:lineRule="auto"/>
      </w:pPr>
      <w:r>
        <w:t>C</w:t>
      </w:r>
      <w:r w:rsidR="002E4CB4" w:rsidRPr="009F1F3B">
        <w:t xml:space="preserve">an receive </w:t>
      </w:r>
      <w:r w:rsidR="00800417" w:rsidRPr="009F1F3B">
        <w:t xml:space="preserve">de minimis aid </w:t>
      </w:r>
      <w:r w:rsidR="002E4CB4" w:rsidRPr="009F1F3B">
        <w:t xml:space="preserve">from the managing authority provided that they have not exceeded the limit of EUR </w:t>
      </w:r>
      <w:r w:rsidR="00A3661B" w:rsidRPr="009F1F3B">
        <w:t>200,</w:t>
      </w:r>
      <w:r w:rsidR="002E4CB4" w:rsidRPr="009F1F3B">
        <w:t xml:space="preserve">000 in the period of </w:t>
      </w:r>
      <w:r w:rsidR="00DF5C3C" w:rsidRPr="009F1F3B">
        <w:t xml:space="preserve">the </w:t>
      </w:r>
      <w:r w:rsidR="002E4CB4" w:rsidRPr="009F1F3B">
        <w:t>3 last fiscal years (within ERDF co-financing). If the partner receive</w:t>
      </w:r>
      <w:r w:rsidR="00DF5C3C" w:rsidRPr="009F1F3B">
        <w:t>s</w:t>
      </w:r>
      <w:r w:rsidR="002E4CB4" w:rsidRPr="009F1F3B">
        <w:t xml:space="preserve"> additional assistance from a public body to cover the amount of its national </w:t>
      </w:r>
      <w:r w:rsidR="002E4CB4" w:rsidRPr="009F1F3B">
        <w:lastRenderedPageBreak/>
        <w:t xml:space="preserve">contribution </w:t>
      </w:r>
      <w:r w:rsidR="00DF5C3C" w:rsidRPr="009F1F3B">
        <w:t xml:space="preserve">to </w:t>
      </w:r>
      <w:r w:rsidR="002E4CB4" w:rsidRPr="009F1F3B">
        <w:t>the project</w:t>
      </w:r>
      <w:r w:rsidR="00DF5C3C" w:rsidRPr="009F1F3B">
        <w:t>,</w:t>
      </w:r>
      <w:r w:rsidR="002E4CB4" w:rsidRPr="009F1F3B">
        <w:t xml:space="preserve"> e.g., in </w:t>
      </w:r>
      <w:r w:rsidR="00DF5C3C" w:rsidRPr="009F1F3B">
        <w:t xml:space="preserve">the </w:t>
      </w:r>
      <w:r w:rsidR="002E4CB4" w:rsidRPr="009F1F3B">
        <w:t xml:space="preserve">form of a national grant, under </w:t>
      </w:r>
      <w:r w:rsidR="00DF5C3C" w:rsidRPr="009F1F3B">
        <w:t xml:space="preserve">these </w:t>
      </w:r>
      <w:r w:rsidR="002E4CB4" w:rsidRPr="009F1F3B">
        <w:t xml:space="preserve">circumstances: </w:t>
      </w:r>
    </w:p>
    <w:p w14:paraId="6B98FBE0" w14:textId="77777777" w:rsidR="000F12CF" w:rsidRDefault="009F1F3B" w:rsidP="003C58C0">
      <w:pPr>
        <w:pStyle w:val="ListParagraph"/>
        <w:numPr>
          <w:ilvl w:val="0"/>
          <w:numId w:val="66"/>
        </w:numPr>
        <w:spacing w:line="360" w:lineRule="auto"/>
      </w:pPr>
      <w:r w:rsidRPr="000F12CF">
        <w:t>t</w:t>
      </w:r>
      <w:r w:rsidR="002E4CB4" w:rsidRPr="000F12CF">
        <w:t xml:space="preserve">he amount of de minimis aid awarded from </w:t>
      </w:r>
      <w:r w:rsidR="00DF5C3C" w:rsidRPr="000F12CF">
        <w:t xml:space="preserve">the </w:t>
      </w:r>
      <w:r w:rsidR="002E4CB4" w:rsidRPr="000F12CF">
        <w:t>ERDF would have to be decreased by the amount of the national grant</w:t>
      </w:r>
      <w:r w:rsidR="00DF5C3C" w:rsidRPr="000F12CF">
        <w:t>,</w:t>
      </w:r>
      <w:r w:rsidR="002E4CB4" w:rsidRPr="000F12CF">
        <w:t xml:space="preserve"> or</w:t>
      </w:r>
    </w:p>
    <w:p w14:paraId="5BBE2085" w14:textId="33F22598" w:rsidR="00013676" w:rsidRPr="000F12CF" w:rsidRDefault="002E4CB4" w:rsidP="003C58C0">
      <w:pPr>
        <w:pStyle w:val="ListParagraph"/>
        <w:numPr>
          <w:ilvl w:val="0"/>
          <w:numId w:val="66"/>
        </w:numPr>
        <w:spacing w:line="360" w:lineRule="auto"/>
      </w:pPr>
      <w:r w:rsidRPr="000F12CF">
        <w:t xml:space="preserve">the partner could not receive the national grant. The national contribution for the project would have to be covered by </w:t>
      </w:r>
      <w:r w:rsidR="00DF5C3C" w:rsidRPr="000F12CF">
        <w:t xml:space="preserve">the </w:t>
      </w:r>
      <w:r w:rsidRPr="000F12CF">
        <w:t xml:space="preserve">partner’s own financial means or by taking out </w:t>
      </w:r>
      <w:r w:rsidR="00DF5C3C" w:rsidRPr="000F12CF">
        <w:t xml:space="preserve">a </w:t>
      </w:r>
      <w:r w:rsidRPr="000F12CF">
        <w:t>loan on the market.</w:t>
      </w:r>
    </w:p>
    <w:p w14:paraId="27F275E8" w14:textId="3976F90F" w:rsidR="00013676" w:rsidRPr="00053B77" w:rsidRDefault="00013676" w:rsidP="003C58C0">
      <w:pPr>
        <w:pStyle w:val="CommentText"/>
        <w:spacing w:line="360" w:lineRule="auto"/>
        <w:rPr>
          <w:sz w:val="24"/>
          <w:szCs w:val="22"/>
        </w:rPr>
      </w:pPr>
      <w:r w:rsidRPr="00053B77">
        <w:rPr>
          <w:sz w:val="24"/>
          <w:szCs w:val="22"/>
        </w:rPr>
        <w:t>All partners can obtain de minimis aid awarded by every other state e.g.</w:t>
      </w:r>
      <w:r w:rsidR="00517926" w:rsidRPr="00053B77">
        <w:rPr>
          <w:sz w:val="24"/>
          <w:szCs w:val="22"/>
        </w:rPr>
        <w:t>,</w:t>
      </w:r>
      <w:r w:rsidRPr="00053B77">
        <w:rPr>
          <w:sz w:val="24"/>
          <w:szCs w:val="22"/>
        </w:rPr>
        <w:t xml:space="preserve"> within other INTERREG projects, the value of such aid does not </w:t>
      </w:r>
      <w:r w:rsidR="00DF5C3C" w:rsidRPr="00053B77">
        <w:rPr>
          <w:sz w:val="24"/>
          <w:szCs w:val="22"/>
        </w:rPr>
        <w:t>cumulate</w:t>
      </w:r>
      <w:r w:rsidRPr="00053B77">
        <w:rPr>
          <w:sz w:val="24"/>
          <w:szCs w:val="22"/>
        </w:rPr>
        <w:t xml:space="preserve"> with the value awarded by Poland.</w:t>
      </w:r>
    </w:p>
    <w:p w14:paraId="2867C1A5" w14:textId="210BD55C" w:rsidR="00376EDD" w:rsidRPr="009F1F3B" w:rsidRDefault="003774DC" w:rsidP="003C58C0">
      <w:pPr>
        <w:pStyle w:val="Heading3"/>
        <w:spacing w:line="360" w:lineRule="auto"/>
      </w:pPr>
      <w:bookmarkStart w:id="118" w:name="_Toc147242427"/>
      <w:r w:rsidRPr="009F1F3B">
        <w:t>9</w:t>
      </w:r>
      <w:r w:rsidR="00376EDD" w:rsidRPr="009F1F3B">
        <w:t xml:space="preserve">.5 </w:t>
      </w:r>
      <w:r w:rsidR="00120BC4" w:rsidRPr="009F1F3B">
        <w:t xml:space="preserve">Assessment of </w:t>
      </w:r>
      <w:r w:rsidR="0000618F" w:rsidRPr="009F1F3B">
        <w:t>S</w:t>
      </w:r>
      <w:r w:rsidR="00120BC4" w:rsidRPr="009F1F3B">
        <w:t>tate aid in the project</w:t>
      </w:r>
      <w:bookmarkEnd w:id="118"/>
    </w:p>
    <w:p w14:paraId="33603327" w14:textId="6F94D7EA" w:rsidR="00013676" w:rsidRPr="009F1F3B" w:rsidRDefault="00013676" w:rsidP="003C58C0">
      <w:pPr>
        <w:spacing w:line="360" w:lineRule="auto"/>
      </w:pPr>
      <w:r w:rsidRPr="009F1F3B">
        <w:t>In the Interreg South Baltic Programme, the decision on project co-financing implemented by the Managing Authority</w:t>
      </w:r>
      <w:r w:rsidRPr="009F1F3B" w:rsidDel="003A0873">
        <w:t xml:space="preserve"> </w:t>
      </w:r>
      <w:r w:rsidR="005C70B7" w:rsidRPr="009F1F3B">
        <w:t>must</w:t>
      </w:r>
      <w:r w:rsidRPr="009F1F3B">
        <w:t xml:space="preserve"> take into consideration the principles of awarding State aid. Therefore, the Managing Authority assesses </w:t>
      </w:r>
      <w:r w:rsidR="00373E33" w:rsidRPr="009F1F3B">
        <w:t xml:space="preserve">the </w:t>
      </w:r>
      <w:r w:rsidRPr="009F1F3B">
        <w:t>occurrence of State aid or de minimis aid (</w:t>
      </w:r>
      <w:r w:rsidR="00373E33" w:rsidRPr="009F1F3B">
        <w:t xml:space="preserve">this </w:t>
      </w:r>
      <w:r w:rsidRPr="009F1F3B">
        <w:t xml:space="preserve">task is performed by the Joint Secretariat of the Programme </w:t>
      </w:r>
      <w:r w:rsidR="00373E33" w:rsidRPr="009F1F3B">
        <w:t>through its</w:t>
      </w:r>
      <w:r w:rsidRPr="009F1F3B">
        <w:t xml:space="preserve"> delegati</w:t>
      </w:r>
      <w:r w:rsidR="00373E33" w:rsidRPr="009F1F3B">
        <w:t>on</w:t>
      </w:r>
      <w:r w:rsidRPr="009F1F3B">
        <w:t xml:space="preserve"> by the Managing Authority) and signs subsidy contract on project co-financing. </w:t>
      </w:r>
    </w:p>
    <w:p w14:paraId="0C97368A" w14:textId="3C2C29AA" w:rsidR="00013676" w:rsidRPr="009F1F3B" w:rsidRDefault="00013676" w:rsidP="003C58C0">
      <w:pPr>
        <w:spacing w:line="360" w:lineRule="auto"/>
      </w:pPr>
      <w:r w:rsidRPr="009F1F3B">
        <w:t>Nevertheless, if project partners award State aid to final recipients (indirect aid), they are responsible for:</w:t>
      </w:r>
    </w:p>
    <w:p w14:paraId="13C03465" w14:textId="31E53433" w:rsidR="00120BC4" w:rsidRPr="00092A23" w:rsidRDefault="00283CF2" w:rsidP="003C58C0">
      <w:pPr>
        <w:pStyle w:val="ListParagraph"/>
        <w:numPr>
          <w:ilvl w:val="0"/>
          <w:numId w:val="20"/>
        </w:numPr>
        <w:spacing w:line="360" w:lineRule="auto"/>
      </w:pPr>
      <w:r>
        <w:t>P</w:t>
      </w:r>
      <w:r w:rsidR="00013676" w:rsidRPr="00092A23">
        <w:t>roper awarding of aid (including verification of</w:t>
      </w:r>
      <w:r w:rsidR="003B6AA0" w:rsidRPr="00092A23">
        <w:t xml:space="preserve"> the</w:t>
      </w:r>
      <w:r w:rsidR="00013676" w:rsidRPr="00092A23">
        <w:t xml:space="preserve"> conditions for possibility awarding)</w:t>
      </w:r>
      <w:r>
        <w:t>.</w:t>
      </w:r>
    </w:p>
    <w:p w14:paraId="3911230E" w14:textId="2933AA92" w:rsidR="00013676" w:rsidRPr="00092A23" w:rsidRDefault="00283CF2" w:rsidP="003C58C0">
      <w:pPr>
        <w:pStyle w:val="ListParagraph"/>
        <w:numPr>
          <w:ilvl w:val="0"/>
          <w:numId w:val="20"/>
        </w:numPr>
        <w:spacing w:line="360" w:lineRule="auto"/>
      </w:pPr>
      <w:r>
        <w:t>C</w:t>
      </w:r>
      <w:r w:rsidR="00013676" w:rsidRPr="00092A23">
        <w:t xml:space="preserve">ollecting and issuing required documents, in compliance with national regulations (detailed information </w:t>
      </w:r>
      <w:r w:rsidR="003B6AA0" w:rsidRPr="00092A23">
        <w:t xml:space="preserve">is </w:t>
      </w:r>
      <w:r w:rsidR="00013676" w:rsidRPr="00092A23">
        <w:t xml:space="preserve">available on the </w:t>
      </w:r>
      <w:hyperlink r:id="rId30" w:history="1">
        <w:r w:rsidR="000F12CF" w:rsidRPr="00DC4ED8">
          <w:rPr>
            <w:rFonts w:ascii="Open Sans ExtraBold"/>
            <w:b/>
            <w:color w:val="003399"/>
            <w:spacing w:val="-2"/>
          </w:rPr>
          <w:t>Programme website</w:t>
        </w:r>
        <w:r w:rsidR="000F12CF">
          <w:rPr>
            <w:rFonts w:ascii="Open Sans ExtraBold"/>
            <w:b/>
            <w:color w:val="003399"/>
            <w:spacing w:val="-2"/>
          </w:rPr>
          <w:t>)</w:t>
        </w:r>
        <w:r w:rsidR="000F12CF" w:rsidRPr="00DC4ED8">
          <w:rPr>
            <w:rFonts w:ascii="Open Sans ExtraBold"/>
            <w:b/>
            <w:color w:val="003399"/>
            <w:spacing w:val="-2"/>
          </w:rPr>
          <w:t>.</w:t>
        </w:r>
      </w:hyperlink>
    </w:p>
    <w:p w14:paraId="1CCC17E8" w14:textId="32E5D8FC" w:rsidR="00092A23" w:rsidRPr="00092A23" w:rsidRDefault="00053B77" w:rsidP="003C58C0">
      <w:pPr>
        <w:spacing w:line="360" w:lineRule="auto"/>
      </w:pPr>
      <w:r w:rsidRPr="000F12CF">
        <w:rPr>
          <w:noProof/>
        </w:rPr>
        <w:lastRenderedPageBreak/>
        <mc:AlternateContent>
          <mc:Choice Requires="wps">
            <w:drawing>
              <wp:inline distT="0" distB="0" distL="0" distR="0" wp14:anchorId="36C20EB8" wp14:editId="746555F7">
                <wp:extent cx="5772150" cy="962025"/>
                <wp:effectExtent l="0" t="0" r="19050" b="28575"/>
                <wp:docPr id="3533660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962025"/>
                        </a:xfrm>
                        <a:prstGeom prst="rect">
                          <a:avLst/>
                        </a:prstGeom>
                        <a:ln w="12700">
                          <a:solidFill>
                            <a:srgbClr val="003399"/>
                          </a:solidFill>
                          <a:prstDash val="solid"/>
                        </a:ln>
                      </wps:spPr>
                      <wps:txbx>
                        <w:txbxContent>
                          <w:p w14:paraId="71855FD9" w14:textId="77777777" w:rsidR="00053B77" w:rsidRPr="00053B77" w:rsidRDefault="00053B77" w:rsidP="00053B77">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24BAF215" w14:textId="468D3163" w:rsidR="00053B77" w:rsidRPr="00053B77" w:rsidRDefault="00053B77" w:rsidP="00053B77">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 xml:space="preserve">Occurrence of State aid in a project is always </w:t>
                            </w:r>
                            <w:r w:rsidRPr="00053B77">
                              <w:rPr>
                                <w:rFonts w:ascii="Open Sans SemiBold" w:eastAsia="Open Sans SemiBold" w:hAnsi="Open Sans SemiBold" w:cs="Open Sans SemiBold"/>
                                <w:bCs/>
                                <w:color w:val="003399"/>
                                <w:sz w:val="24"/>
                                <w:lang w:eastAsia="en-US"/>
                              </w:rPr>
                              <w:t>assessed before signing the Subsidy Contract</w:t>
                            </w:r>
                            <w:r w:rsidRPr="00053B77">
                              <w:rPr>
                                <w:rFonts w:ascii="Open Sans" w:eastAsiaTheme="minorHAnsi" w:hAnsi="Open Sans" w:cstheme="minorBidi"/>
                                <w:color w:val="auto"/>
                                <w:sz w:val="32"/>
                                <w:szCs w:val="28"/>
                                <w:lang w:eastAsia="en-US"/>
                              </w:rPr>
                              <w:t xml:space="preserve"> </w:t>
                            </w:r>
                            <w:r w:rsidRPr="00053B77">
                              <w:rPr>
                                <w:rFonts w:ascii="Open Sans" w:eastAsiaTheme="minorHAnsi" w:hAnsi="Open Sans" w:cstheme="minorBidi"/>
                                <w:color w:val="auto"/>
                                <w:sz w:val="24"/>
                                <w:szCs w:val="22"/>
                                <w:lang w:eastAsia="en-US"/>
                              </w:rPr>
                              <w:t>(for each measure in the project and every partner).</w:t>
                            </w:r>
                          </w:p>
                        </w:txbxContent>
                      </wps:txbx>
                      <wps:bodyPr wrap="square" lIns="0" tIns="0" rIns="0" bIns="0" rtlCol="0">
                        <a:noAutofit/>
                      </wps:bodyPr>
                    </wps:wsp>
                  </a:graphicData>
                </a:graphic>
              </wp:inline>
            </w:drawing>
          </mc:Choice>
          <mc:Fallback>
            <w:pict>
              <v:shape w14:anchorId="36C20EB8" id="_x0000_s1069" type="#_x0000_t202" style="width:454.5pt;height: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" filled="f" strokecolor="#039" strokeweight="1pt">
                <v:path arrowok="t"/>
                <v:textbox inset="0,0,0,0">
                  <w:txbxContent>
                    <w:p w14:paraId="71855FD9" w14:textId="77777777" w:rsidR="00053B77" w:rsidRPr="00053B77" w:rsidRDefault="00053B77" w:rsidP="00053B77">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24BAF215" w14:textId="468D3163" w:rsidR="00053B77" w:rsidRPr="00053B77" w:rsidRDefault="00053B77" w:rsidP="00053B77">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 xml:space="preserve">Occurrence of State aid in a project is always </w:t>
                      </w:r>
                      <w:r w:rsidRPr="00053B77">
                        <w:rPr>
                          <w:rFonts w:ascii="Open Sans SemiBold" w:eastAsia="Open Sans SemiBold" w:hAnsi="Open Sans SemiBold" w:cs="Open Sans SemiBold"/>
                          <w:bCs/>
                          <w:color w:val="003399"/>
                          <w:sz w:val="24"/>
                          <w:lang w:eastAsia="en-US"/>
                        </w:rPr>
                        <w:t>assessed before signing the Subsidy Contract</w:t>
                      </w:r>
                      <w:r w:rsidRPr="00053B77">
                        <w:rPr>
                          <w:rFonts w:ascii="Open Sans" w:eastAsiaTheme="minorHAnsi" w:hAnsi="Open Sans" w:cstheme="minorBidi"/>
                          <w:color w:val="auto"/>
                          <w:sz w:val="32"/>
                          <w:szCs w:val="28"/>
                          <w:lang w:eastAsia="en-US"/>
                        </w:rPr>
                        <w:t xml:space="preserve"> </w:t>
                      </w:r>
                      <w:r w:rsidRPr="00053B77">
                        <w:rPr>
                          <w:rFonts w:ascii="Open Sans" w:eastAsiaTheme="minorHAnsi" w:hAnsi="Open Sans" w:cstheme="minorBidi"/>
                          <w:color w:val="auto"/>
                          <w:sz w:val="24"/>
                          <w:szCs w:val="22"/>
                          <w:lang w:eastAsia="en-US"/>
                        </w:rPr>
                        <w:t>(for each measure in the project and every partner).</w:t>
                      </w:r>
                    </w:p>
                  </w:txbxContent>
                </v:textbox>
                <w10:anchorlock/>
              </v:shape>
            </w:pict>
          </mc:Fallback>
        </mc:AlternateContent>
      </w:r>
    </w:p>
    <w:p w14:paraId="1D467459" w14:textId="5136DB80" w:rsidR="00013676" w:rsidRPr="00092A23" w:rsidRDefault="00013676" w:rsidP="003C58C0">
      <w:pPr>
        <w:spacing w:line="360" w:lineRule="auto"/>
      </w:pPr>
      <w:r w:rsidRPr="00092A23">
        <w:t xml:space="preserve">In the course of the </w:t>
      </w:r>
      <w:r w:rsidR="00517926" w:rsidRPr="00092A23">
        <w:t>assessment,</w:t>
      </w:r>
      <w:r w:rsidRPr="00092A23">
        <w:t xml:space="preserve"> it is taken into consideration whether the partner is an undertaking pursuant to EU law and whether all measures specified in Article 107 par. 1 TFEU are met (so-called State aid test). </w:t>
      </w:r>
    </w:p>
    <w:p w14:paraId="32EA2E1C" w14:textId="044CFBB6" w:rsidR="00013676" w:rsidRPr="00092A23" w:rsidRDefault="005109B3" w:rsidP="003C58C0">
      <w:pPr>
        <w:spacing w:line="360" w:lineRule="auto"/>
      </w:pPr>
      <w:r w:rsidRPr="00092A23">
        <w:t xml:space="preserve">The fulfilment </w:t>
      </w:r>
      <w:r w:rsidR="00013676" w:rsidRPr="00092A23">
        <w:t xml:space="preserve">of measures </w:t>
      </w:r>
      <w:r w:rsidRPr="00092A23">
        <w:t>for granting</w:t>
      </w:r>
      <w:r w:rsidR="00013676" w:rsidRPr="00092A23">
        <w:t xml:space="preserve"> State aid or de minimis aid is verified individually for each project and for every partner at the stage of assessment of the application for co-financing. Until </w:t>
      </w:r>
      <w:r w:rsidRPr="00092A23">
        <w:t xml:space="preserve">the </w:t>
      </w:r>
      <w:r w:rsidR="00013676" w:rsidRPr="00092A23">
        <w:t xml:space="preserve">conclusion of the subsidy contract, partners immediately inform </w:t>
      </w:r>
      <w:r w:rsidR="00AF213C" w:rsidRPr="00092A23">
        <w:t xml:space="preserve">the </w:t>
      </w:r>
      <w:r w:rsidR="00013676" w:rsidRPr="00092A23">
        <w:t>Joint Secretariat of any changes concerning previously received de minimis aid or State aid.</w:t>
      </w:r>
    </w:p>
    <w:p w14:paraId="5CF7AF5A" w14:textId="63DFBFC6" w:rsidR="00013676" w:rsidRPr="00092A23" w:rsidRDefault="00013676" w:rsidP="003C58C0">
      <w:pPr>
        <w:spacing w:line="360" w:lineRule="auto"/>
      </w:pPr>
      <w:r w:rsidRPr="00092A23">
        <w:t xml:space="preserve">The institution awarding aid (the Managing Authority or the project partner) assesses </w:t>
      </w:r>
      <w:r w:rsidR="00AF213C" w:rsidRPr="00092A23">
        <w:t xml:space="preserve">the </w:t>
      </w:r>
      <w:r w:rsidRPr="00092A23">
        <w:t xml:space="preserve">admissibility of the aid on the grounds of information submitted by the project partners applying for State aid. </w:t>
      </w:r>
      <w:r w:rsidR="00AF213C" w:rsidRPr="00092A23">
        <w:t xml:space="preserve">The </w:t>
      </w:r>
      <w:r w:rsidRPr="00092A23">
        <w:t xml:space="preserve">partners present </w:t>
      </w:r>
      <w:r w:rsidR="00AF213C" w:rsidRPr="00092A23">
        <w:t xml:space="preserve">this information </w:t>
      </w:r>
      <w:r w:rsidRPr="00092A23">
        <w:t xml:space="preserve">in the form of filled-in forms and copies of certificates or a declaration on the received de minimis aid (detailed information is available on the </w:t>
      </w:r>
      <w:hyperlink r:id="rId31" w:history="1">
        <w:r w:rsidR="00092A23" w:rsidRPr="00092A23">
          <w:rPr>
            <w:rFonts w:ascii="Open Sans ExtraBold"/>
            <w:b/>
            <w:color w:val="003399"/>
            <w:spacing w:val="-2"/>
            <w:szCs w:val="24"/>
            <w:lang w:eastAsia="ar-SA"/>
          </w:rPr>
          <w:t>Programme website</w:t>
        </w:r>
      </w:hyperlink>
      <w:r w:rsidRPr="00092A23">
        <w:t>).</w:t>
      </w:r>
    </w:p>
    <w:p w14:paraId="623BD6CF" w14:textId="2D51E283" w:rsidR="00517926" w:rsidRPr="00092A23" w:rsidRDefault="003774DC" w:rsidP="003C58C0">
      <w:pPr>
        <w:pStyle w:val="Heading3"/>
        <w:spacing w:line="360" w:lineRule="auto"/>
      </w:pPr>
      <w:bookmarkStart w:id="119" w:name="_Toc147242428"/>
      <w:r w:rsidRPr="00092A23">
        <w:t>9</w:t>
      </w:r>
      <w:r w:rsidR="00517926" w:rsidRPr="00092A23">
        <w:t>.</w:t>
      </w:r>
      <w:r w:rsidRPr="00092A23">
        <w:t>6</w:t>
      </w:r>
      <w:r w:rsidR="00517926" w:rsidRPr="00092A23">
        <w:t xml:space="preserve"> Awarding aid, monitoring, reporting, and informing</w:t>
      </w:r>
      <w:bookmarkEnd w:id="119"/>
    </w:p>
    <w:p w14:paraId="4B581974" w14:textId="77777777" w:rsidR="00013676" w:rsidRDefault="00013676" w:rsidP="003C58C0">
      <w:pPr>
        <w:spacing w:line="360" w:lineRule="auto"/>
      </w:pPr>
      <w:r w:rsidRPr="00092A23">
        <w:t xml:space="preserve">The Managing Authority awards State aid or de minimis aid to Polish and foreign partners and applies procedures and provisions concerning reporting this aid in compliance with Polish provisions. </w:t>
      </w:r>
    </w:p>
    <w:p w14:paraId="2F714D30" w14:textId="4B6C6F15" w:rsidR="00092A23" w:rsidRPr="00092A23" w:rsidRDefault="00092A23" w:rsidP="003C58C0">
      <w:pPr>
        <w:spacing w:line="360" w:lineRule="auto"/>
      </w:pPr>
      <w:r w:rsidRPr="00092A23">
        <w:t>In compliance with the GBER, the reporting requirement concerns granting State aid pursuant to Article 20 GBER.</w:t>
      </w:r>
      <w:r>
        <w:t xml:space="preserve"> </w:t>
      </w:r>
      <w:r w:rsidRPr="00092A23">
        <w:t>An exception to this rule comprises granting aid pursuant to Article 20a GBER.</w:t>
      </w:r>
    </w:p>
    <w:p w14:paraId="3DFD42E3" w14:textId="123AC74F" w:rsidR="006A28C3" w:rsidRPr="00053B77" w:rsidRDefault="00092A23" w:rsidP="003C58C0">
      <w:pPr>
        <w:spacing w:line="360" w:lineRule="auto"/>
        <w:rPr>
          <w:rFonts w:ascii="Open Sans SemiBold" w:eastAsia="Open Sans SemiBold" w:hAnsi="Open Sans SemiBold" w:cs="Open Sans SemiBold"/>
          <w:bCs/>
          <w:color w:val="003399"/>
          <w:szCs w:val="24"/>
        </w:rPr>
      </w:pPr>
      <w:r w:rsidRPr="00053B77">
        <w:rPr>
          <w:rFonts w:ascii="Open Sans SemiBold" w:eastAsia="Open Sans SemiBold" w:hAnsi="Open Sans SemiBold" w:cs="Open Sans SemiBold"/>
          <w:bCs/>
          <w:color w:val="003399"/>
          <w:szCs w:val="24"/>
        </w:rPr>
        <w:t>De minimis aid is not subject to reporting to the EC.</w:t>
      </w:r>
    </w:p>
    <w:p w14:paraId="649BE681" w14:textId="0FB4805C" w:rsidR="001C7424" w:rsidRDefault="003774DC" w:rsidP="003C58C0">
      <w:pPr>
        <w:pStyle w:val="Heading3"/>
        <w:spacing w:line="360" w:lineRule="auto"/>
      </w:pPr>
      <w:bookmarkStart w:id="120" w:name="_Toc147242429"/>
      <w:r w:rsidRPr="00092A23">
        <w:lastRenderedPageBreak/>
        <w:t>9</w:t>
      </w:r>
      <w:r w:rsidR="00517926" w:rsidRPr="00092A23">
        <w:t>.</w:t>
      </w:r>
      <w:r w:rsidRPr="00092A23">
        <w:t>7</w:t>
      </w:r>
      <w:r w:rsidR="00517926" w:rsidRPr="00092A23">
        <w:t xml:space="preserve"> Indirect aid</w:t>
      </w:r>
      <w:bookmarkEnd w:id="120"/>
      <w:r w:rsidR="0060298F">
        <w:rPr>
          <w:noProof/>
        </w:rPr>
        <mc:AlternateContent>
          <mc:Choice Requires="wps">
            <w:drawing>
              <wp:inline distT="0" distB="0" distL="0" distR="0" wp14:anchorId="1AAD0691" wp14:editId="7AE1A48A">
                <wp:extent cx="5772150" cy="962025"/>
                <wp:effectExtent l="0" t="0" r="19050" b="28575"/>
                <wp:docPr id="1726363168"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962025"/>
                        </a:xfrm>
                        <a:prstGeom prst="rect">
                          <a:avLst/>
                        </a:prstGeom>
                        <a:ln w="12700">
                          <a:solidFill>
                            <a:srgbClr val="003399"/>
                          </a:solidFill>
                          <a:prstDash val="solid"/>
                        </a:ln>
                      </wps:spPr>
                      <wps:txbx>
                        <w:txbxContent>
                          <w:p w14:paraId="353E684E" w14:textId="77777777" w:rsidR="0060298F" w:rsidRPr="00053B77" w:rsidRDefault="0060298F" w:rsidP="0060298F">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36344E81" w14:textId="77777777" w:rsidR="0060298F" w:rsidRPr="00053B77" w:rsidRDefault="0060298F" w:rsidP="0060298F">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 xml:space="preserve">A partner can grant indirect State aid if this is specified in the subsidy contract, in compliance with </w:t>
                            </w:r>
                            <w:r w:rsidRPr="00053B77">
                              <w:rPr>
                                <w:rFonts w:ascii="Open Sans SemiBold" w:eastAsia="Open Sans SemiBold" w:hAnsi="Open Sans SemiBold" w:cs="Open Sans SemiBold"/>
                                <w:bCs/>
                                <w:color w:val="003399"/>
                                <w:sz w:val="24"/>
                                <w:lang w:eastAsia="en-US"/>
                              </w:rPr>
                              <w:t>Article 20a GBER.</w:t>
                            </w:r>
                          </w:p>
                        </w:txbxContent>
                      </wps:txbx>
                      <wps:bodyPr wrap="square" lIns="0" tIns="0" rIns="0" bIns="0" rtlCol="0">
                        <a:noAutofit/>
                      </wps:bodyPr>
                    </wps:wsp>
                  </a:graphicData>
                </a:graphic>
              </wp:inline>
            </w:drawing>
          </mc:Choice>
          <mc:Fallback>
            <w:pict>
              <v:shape w14:anchorId="1AAD0691" id="_x0000_s1070" type="#_x0000_t202" style="width:454.5pt;height: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" filled="f" strokecolor="#039" strokeweight="1pt">
                <v:path arrowok="t"/>
                <v:textbox inset="0,0,0,0">
                  <w:txbxContent>
                    <w:p w14:paraId="353E684E" w14:textId="77777777" w:rsidR="0060298F" w:rsidRPr="00053B77" w:rsidRDefault="0060298F" w:rsidP="0060298F">
                      <w:pPr>
                        <w:pStyle w:val="BodyText"/>
                        <w:rPr>
                          <w:rFonts w:ascii="Open Sans ExtraBold" w:eastAsiaTheme="minorHAnsi" w:hAnsiTheme="minorHAnsi" w:cstheme="minorBidi"/>
                          <w:b/>
                          <w:color w:val="003399"/>
                          <w:spacing w:val="-2"/>
                          <w:sz w:val="24"/>
                          <w:szCs w:val="28"/>
                          <w:lang w:eastAsia="en-US"/>
                        </w:rPr>
                      </w:pPr>
                      <w:r w:rsidRPr="00053B77">
                        <w:rPr>
                          <w:rFonts w:ascii="Open Sans ExtraBold" w:eastAsiaTheme="minorHAnsi" w:hAnsiTheme="minorHAnsi" w:cstheme="minorBidi"/>
                          <w:b/>
                          <w:color w:val="003399"/>
                          <w:spacing w:val="-2"/>
                          <w:sz w:val="24"/>
                          <w:szCs w:val="28"/>
                          <w:lang w:eastAsia="en-US"/>
                        </w:rPr>
                        <w:t xml:space="preserve">NB: </w:t>
                      </w:r>
                    </w:p>
                    <w:p w14:paraId="36344E81" w14:textId="77777777" w:rsidR="0060298F" w:rsidRPr="00053B77" w:rsidRDefault="0060298F" w:rsidP="0060298F">
                      <w:pPr>
                        <w:pStyle w:val="BodyText"/>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 xml:space="preserve">A partner can grant indirect State aid if this is specified in the subsidy contract, in compliance with </w:t>
                      </w:r>
                      <w:r w:rsidRPr="00053B77">
                        <w:rPr>
                          <w:rFonts w:ascii="Open Sans SemiBold" w:eastAsia="Open Sans SemiBold" w:hAnsi="Open Sans SemiBold" w:cs="Open Sans SemiBold"/>
                          <w:bCs/>
                          <w:color w:val="003399"/>
                          <w:sz w:val="24"/>
                          <w:lang w:eastAsia="en-US"/>
                        </w:rPr>
                        <w:t>Article 20a GBER.</w:t>
                      </w:r>
                    </w:p>
                  </w:txbxContent>
                </v:textbox>
                <w10:anchorlock/>
              </v:shape>
            </w:pict>
          </mc:Fallback>
        </mc:AlternateContent>
      </w:r>
    </w:p>
    <w:p w14:paraId="1B238EC9" w14:textId="7A0673F8" w:rsidR="00013676" w:rsidRPr="001D58A3" w:rsidRDefault="00013676" w:rsidP="003C58C0">
      <w:pPr>
        <w:spacing w:line="360" w:lineRule="auto"/>
        <w:rPr>
          <w:rFonts w:ascii="Segoe UI" w:hAnsi="Segoe UI" w:cs="Segoe UI"/>
          <w:lang w:val="en-GB"/>
        </w:rPr>
      </w:pPr>
      <w:r w:rsidRPr="00092A23">
        <w:t xml:space="preserve">The reporting obligation does not exist with reference to aid granted pursuant to Article 20a GBER. </w:t>
      </w:r>
      <w:r w:rsidR="00AF213C" w:rsidRPr="00092A23">
        <w:t xml:space="preserve">The provisions </w:t>
      </w:r>
      <w:r w:rsidRPr="00092A23">
        <w:t xml:space="preserve">of a given country may, however, </w:t>
      </w:r>
      <w:r w:rsidR="00AF213C" w:rsidRPr="00092A23">
        <w:t xml:space="preserve">require </w:t>
      </w:r>
      <w:r w:rsidRPr="00092A23">
        <w:t xml:space="preserve">reporting from partners </w:t>
      </w:r>
      <w:r w:rsidR="001D58A3" w:rsidRPr="00092A23">
        <w:t>who award</w:t>
      </w:r>
      <w:r w:rsidRPr="00092A23">
        <w:t xml:space="preserve"> aid pursuant to Article 20a. If so, the partner reports the fact of awarding such aid</w:t>
      </w:r>
      <w:r w:rsidR="00AF213C" w:rsidRPr="00092A23">
        <w:t>,</w:t>
      </w:r>
      <w:r w:rsidRPr="00092A23">
        <w:t xml:space="preserve"> e.g.</w:t>
      </w:r>
      <w:r w:rsidR="001D58A3" w:rsidRPr="00092A23">
        <w:t>,</w:t>
      </w:r>
      <w:r w:rsidRPr="00092A23">
        <w:t xml:space="preserve"> in national IT systems (with the use of </w:t>
      </w:r>
      <w:r w:rsidR="00AF213C" w:rsidRPr="00092A23">
        <w:t xml:space="preserve">the </w:t>
      </w:r>
      <w:r w:rsidRPr="00092A23">
        <w:t>relevant, national forms), if they exist in a given country (e.g.</w:t>
      </w:r>
      <w:r w:rsidR="001D58A3" w:rsidRPr="00092A23">
        <w:t>,</w:t>
      </w:r>
      <w:r w:rsidRPr="00092A23">
        <w:t xml:space="preserve"> in Poland</w:t>
      </w:r>
      <w:r w:rsidR="00AF213C" w:rsidRPr="00092A23">
        <w:t>,</w:t>
      </w:r>
      <w:r w:rsidRPr="00092A23">
        <w:t xml:space="preserve"> it is the SHRIMP system).</w:t>
      </w:r>
    </w:p>
    <w:p w14:paraId="1EED156E" w14:textId="1B97B666" w:rsidR="00576442" w:rsidRPr="00D0480D" w:rsidRDefault="003774DC" w:rsidP="003C58C0">
      <w:pPr>
        <w:pStyle w:val="Heading3"/>
        <w:spacing w:line="360" w:lineRule="auto"/>
      </w:pPr>
      <w:bookmarkStart w:id="121" w:name="_Toc147242430"/>
      <w:r w:rsidRPr="00D0480D">
        <w:t>9</w:t>
      </w:r>
      <w:r w:rsidR="00576442" w:rsidRPr="00D0480D">
        <w:t>.</w:t>
      </w:r>
      <w:r w:rsidRPr="00D0480D">
        <w:t>8</w:t>
      </w:r>
      <w:r w:rsidR="00576442" w:rsidRPr="00D0480D">
        <w:t xml:space="preserve"> Storing documents concerning State aid</w:t>
      </w:r>
      <w:bookmarkEnd w:id="121"/>
    </w:p>
    <w:p w14:paraId="5DEC6FB1" w14:textId="356BBEFB" w:rsidR="00576442" w:rsidRPr="00D0480D" w:rsidRDefault="00576442" w:rsidP="003C58C0">
      <w:pPr>
        <w:spacing w:line="360" w:lineRule="auto"/>
      </w:pPr>
      <w:r w:rsidRPr="00D0480D">
        <w:t xml:space="preserve">The period of storing documents related to the project implemented with State aid amounts to at least 10 years from the day </w:t>
      </w:r>
      <w:r w:rsidR="000D4E3C" w:rsidRPr="00D0480D">
        <w:t xml:space="preserve">such </w:t>
      </w:r>
      <w:r w:rsidRPr="00D0480D">
        <w:t xml:space="preserve">State aid </w:t>
      </w:r>
      <w:r w:rsidR="000D4E3C" w:rsidRPr="00D0480D">
        <w:t xml:space="preserve">is awarded </w:t>
      </w:r>
      <w:r w:rsidRPr="00D0480D">
        <w:t>within the project (</w:t>
      </w:r>
      <w:r w:rsidR="00C42271" w:rsidRPr="00D0480D">
        <w:t>exception</w:t>
      </w:r>
      <w:r w:rsidRPr="00D0480D">
        <w:t xml:space="preserve">: State aid awarded under art. 20a GBER). </w:t>
      </w:r>
    </w:p>
    <w:p w14:paraId="69848D67" w14:textId="018A7DA0" w:rsidR="0017151A" w:rsidRPr="00D17652" w:rsidRDefault="003774DC" w:rsidP="003C58C0">
      <w:pPr>
        <w:pStyle w:val="Heading3"/>
        <w:spacing w:line="360" w:lineRule="auto"/>
      </w:pPr>
      <w:bookmarkStart w:id="122" w:name="_Toc147242431"/>
      <w:r w:rsidRPr="00D17652">
        <w:t>9</w:t>
      </w:r>
      <w:r w:rsidR="0017151A" w:rsidRPr="00D17652">
        <w:t>.</w:t>
      </w:r>
      <w:r w:rsidRPr="00D17652">
        <w:t xml:space="preserve">9 </w:t>
      </w:r>
      <w:r w:rsidR="000D4E3C" w:rsidRPr="00D17652">
        <w:t>C</w:t>
      </w:r>
      <w:r w:rsidR="0017151A" w:rsidRPr="00D17652">
        <w:t>ontrol of State aid</w:t>
      </w:r>
      <w:bookmarkEnd w:id="122"/>
    </w:p>
    <w:p w14:paraId="2A692A96" w14:textId="2497ABE3" w:rsidR="0017151A" w:rsidRPr="00D17652" w:rsidRDefault="00013676" w:rsidP="003C58C0">
      <w:pPr>
        <w:spacing w:line="360" w:lineRule="auto"/>
      </w:pPr>
      <w:r w:rsidRPr="00D17652">
        <w:t>T</w:t>
      </w:r>
      <w:r w:rsidR="00863DB8" w:rsidRPr="00D17652">
        <w:t>he t</w:t>
      </w:r>
      <w:r w:rsidRPr="00D17652">
        <w:t>asks of the controller who conducts management verification in the project (administrative and on</w:t>
      </w:r>
      <w:r w:rsidR="00225253" w:rsidRPr="00D17652">
        <w:t>-</w:t>
      </w:r>
      <w:r w:rsidRPr="00D17652">
        <w:t>the</w:t>
      </w:r>
      <w:r w:rsidR="00225253" w:rsidRPr="00D17652">
        <w:t>-</w:t>
      </w:r>
      <w:r w:rsidRPr="00D17652">
        <w:t xml:space="preserve">spot check) include verification of </w:t>
      </w:r>
      <w:r w:rsidR="00863DB8" w:rsidRPr="00D17652">
        <w:t xml:space="preserve">the </w:t>
      </w:r>
      <w:r w:rsidRPr="00D17652">
        <w:t xml:space="preserve">compliance of </w:t>
      </w:r>
      <w:r w:rsidR="00863DB8" w:rsidRPr="00D17652">
        <w:t xml:space="preserve">the </w:t>
      </w:r>
      <w:r w:rsidRPr="00D17652">
        <w:t xml:space="preserve">incurred expenditures with </w:t>
      </w:r>
      <w:r w:rsidR="00863DB8" w:rsidRPr="00D17652">
        <w:t xml:space="preserve">the </w:t>
      </w:r>
      <w:r w:rsidRPr="00D17652">
        <w:t xml:space="preserve">regulations concerning State aid. </w:t>
      </w:r>
    </w:p>
    <w:p w14:paraId="445400C7" w14:textId="0D69338B" w:rsidR="00216E5C" w:rsidRDefault="00013676" w:rsidP="003C58C0">
      <w:pPr>
        <w:spacing w:line="360" w:lineRule="auto"/>
      </w:pPr>
      <w:r w:rsidRPr="00D17652">
        <w:t xml:space="preserve">Moreover, the controller verifies if any changes occurred at the project’s partner that could have an impact on the occurrence of State aid, de minimis aid or </w:t>
      </w:r>
      <w:r w:rsidR="00863DB8" w:rsidRPr="00D17652">
        <w:t xml:space="preserve">the </w:t>
      </w:r>
      <w:r w:rsidRPr="00D17652">
        <w:t xml:space="preserve">correctness of awarding them in the project. </w:t>
      </w:r>
    </w:p>
    <w:p w14:paraId="738E815F" w14:textId="6CF57542" w:rsidR="00053B77" w:rsidRPr="004676B1" w:rsidRDefault="00EA440C" w:rsidP="003C58C0">
      <w:pPr>
        <w:spacing w:line="360" w:lineRule="auto"/>
        <w:rPr>
          <w:rFonts w:eastAsia="Open Sans" w:cs="Open Sans"/>
          <w:sz w:val="20"/>
          <w:szCs w:val="20"/>
        </w:rPr>
      </w:pPr>
      <w:r>
        <w:rPr>
          <w:noProof/>
        </w:rPr>
        <w:lastRenderedPageBreak/>
        <mc:AlternateContent>
          <mc:Choice Requires="wps">
            <w:drawing>
              <wp:inline distT="0" distB="0" distL="0" distR="0" wp14:anchorId="61BF9037" wp14:editId="3F06D068">
                <wp:extent cx="5763260" cy="1952625"/>
                <wp:effectExtent l="0" t="0" r="27940" b="28575"/>
                <wp:docPr id="659" name="Text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3260" cy="1952625"/>
                        </a:xfrm>
                        <a:prstGeom prst="rect">
                          <a:avLst/>
                        </a:prstGeom>
                        <a:ln w="12700">
                          <a:solidFill>
                            <a:srgbClr val="003399"/>
                          </a:solidFill>
                          <a:prstDash val="solid"/>
                        </a:ln>
                      </wps:spPr>
                      <wps:txbx>
                        <w:txbxContent>
                          <w:p w14:paraId="53B6B45C" w14:textId="77777777" w:rsidR="00D17652" w:rsidRPr="00D17652" w:rsidRDefault="00D17652" w:rsidP="00805C22">
                            <w:bookmarkStart w:id="123" w:name="_Hlk145175304"/>
                            <w:bookmarkStart w:id="124" w:name="_Hlk145175305"/>
                            <w:bookmarkStart w:id="125" w:name="_Hlk145175315"/>
                            <w:bookmarkStart w:id="126" w:name="_Hlk145175316"/>
                            <w:r w:rsidRPr="00D17652">
                              <w:t>Subject to verification:</w:t>
                            </w:r>
                          </w:p>
                          <w:p w14:paraId="23320A1C" w14:textId="5778BB07" w:rsidR="00D17652" w:rsidRPr="00053B77" w:rsidRDefault="00283CF2" w:rsidP="00805C22">
                            <w:pPr>
                              <w:pStyle w:val="BodyText"/>
                              <w:numPr>
                                <w:ilvl w:val="0"/>
                                <w:numId w:val="60"/>
                              </w:numPr>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F</w:t>
                            </w:r>
                            <w:r w:rsidR="00D17652" w:rsidRPr="00053B77">
                              <w:rPr>
                                <w:rFonts w:ascii="Open Sans" w:eastAsiaTheme="minorHAnsi" w:hAnsi="Open Sans" w:cstheme="minorBidi"/>
                                <w:color w:val="auto"/>
                                <w:sz w:val="24"/>
                                <w:szCs w:val="22"/>
                                <w:lang w:eastAsia="en-US"/>
                              </w:rPr>
                              <w:t xml:space="preserve">or </w:t>
                            </w:r>
                            <w:r w:rsidR="00D17652" w:rsidRPr="00053B77">
                              <w:rPr>
                                <w:rFonts w:ascii="Open Sans SemiBold" w:eastAsia="Open Sans SemiBold" w:hAnsi="Open Sans SemiBold" w:cs="Open Sans SemiBold"/>
                                <w:bCs/>
                                <w:color w:val="003399"/>
                                <w:sz w:val="24"/>
                                <w:lang w:eastAsia="en-US"/>
                              </w:rPr>
                              <w:t>direct aid</w:t>
                            </w:r>
                            <w:r w:rsidR="00D17652" w:rsidRPr="00053B77">
                              <w:rPr>
                                <w:rFonts w:ascii="Open Sans" w:eastAsiaTheme="minorHAnsi" w:hAnsi="Open Sans" w:cstheme="minorBidi"/>
                                <w:color w:val="auto"/>
                                <w:sz w:val="24"/>
                                <w:szCs w:val="22"/>
                                <w:lang w:eastAsia="en-US"/>
                              </w:rPr>
                              <w:t>, the controller verifies if the value of the actually awarded aid has exceeded the maximum amount of aid specified in the subsidy contract for the given project partner</w:t>
                            </w:r>
                            <w:r w:rsidRPr="00053B77">
                              <w:rPr>
                                <w:rFonts w:ascii="Open Sans" w:eastAsiaTheme="minorHAnsi" w:hAnsi="Open Sans" w:cstheme="minorBidi"/>
                                <w:color w:val="auto"/>
                                <w:sz w:val="24"/>
                                <w:szCs w:val="22"/>
                                <w:lang w:eastAsia="en-US"/>
                              </w:rPr>
                              <w:t>.</w:t>
                            </w:r>
                          </w:p>
                          <w:p w14:paraId="51BAA219" w14:textId="39E92E09" w:rsidR="00D17652" w:rsidRPr="00053B77" w:rsidRDefault="00283CF2" w:rsidP="00805C22">
                            <w:pPr>
                              <w:pStyle w:val="BodyText"/>
                              <w:numPr>
                                <w:ilvl w:val="0"/>
                                <w:numId w:val="60"/>
                              </w:numPr>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F</w:t>
                            </w:r>
                            <w:r w:rsidR="00D17652" w:rsidRPr="00053B77">
                              <w:rPr>
                                <w:rFonts w:ascii="Open Sans" w:eastAsiaTheme="minorHAnsi" w:hAnsi="Open Sans" w:cstheme="minorBidi"/>
                                <w:color w:val="auto"/>
                                <w:sz w:val="24"/>
                                <w:szCs w:val="22"/>
                                <w:lang w:eastAsia="en-US"/>
                              </w:rPr>
                              <w:t xml:space="preserve">or </w:t>
                            </w:r>
                            <w:r w:rsidR="00D17652" w:rsidRPr="00053B77">
                              <w:rPr>
                                <w:rFonts w:ascii="Open Sans SemiBold" w:eastAsia="Open Sans SemiBold" w:hAnsi="Open Sans SemiBold" w:cs="Open Sans SemiBold"/>
                                <w:bCs/>
                                <w:color w:val="003399"/>
                                <w:sz w:val="24"/>
                                <w:lang w:eastAsia="en-US"/>
                              </w:rPr>
                              <w:t>indirect aid</w:t>
                            </w:r>
                            <w:r w:rsidR="00D17652" w:rsidRPr="00053B77">
                              <w:rPr>
                                <w:rFonts w:ascii="Open Sans" w:eastAsiaTheme="minorHAnsi" w:hAnsi="Open Sans" w:cstheme="minorBidi"/>
                                <w:color w:val="auto"/>
                                <w:sz w:val="24"/>
                                <w:szCs w:val="22"/>
                                <w:lang w:eastAsia="en-US"/>
                              </w:rPr>
                              <w:t>, the controller verifies in formal terms in the documents concerning the awarded indirect aid (enumerated in the subsidy contract) if the admissible limit of co-financing has not been exceeded.</w:t>
                            </w:r>
                          </w:p>
                          <w:bookmarkEnd w:id="123"/>
                          <w:bookmarkEnd w:id="124"/>
                          <w:bookmarkEnd w:id="125"/>
                          <w:bookmarkEnd w:id="126"/>
                          <w:p w14:paraId="7FE96F52" w14:textId="77777777" w:rsidR="00D17652" w:rsidRPr="00D17652" w:rsidRDefault="00D17652" w:rsidP="00805C22"/>
                        </w:txbxContent>
                      </wps:txbx>
                      <wps:bodyPr wrap="square" lIns="0" tIns="0" rIns="0" bIns="0" rtlCol="0">
                        <a:noAutofit/>
                      </wps:bodyPr>
                    </wps:wsp>
                  </a:graphicData>
                </a:graphic>
              </wp:inline>
            </w:drawing>
          </mc:Choice>
          <mc:Fallback>
            <w:pict>
              <v:shape w14:anchorId="61BF9037" id="Textbox 659" o:spid="_x0000_s1071" type="#_x0000_t202" style="width:453.8pt;height:15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" filled="f" strokecolor="#039" strokeweight="1pt">
                <v:path arrowok="t"/>
                <v:textbox inset="0,0,0,0">
                  <w:txbxContent>
                    <w:p w14:paraId="53B6B45C" w14:textId="77777777" w:rsidR="00D17652" w:rsidRPr="00D17652" w:rsidRDefault="00D17652" w:rsidP="00805C22">
                      <w:bookmarkStart w:id="129" w:name="_Hlk145175304"/>
                      <w:bookmarkStart w:id="130" w:name="_Hlk145175305"/>
                      <w:bookmarkStart w:id="131" w:name="_Hlk145175315"/>
                      <w:bookmarkStart w:id="132" w:name="_Hlk145175316"/>
                      <w:r w:rsidRPr="00D17652">
                        <w:t>Subject to verification:</w:t>
                      </w:r>
                    </w:p>
                    <w:p w14:paraId="23320A1C" w14:textId="5778BB07" w:rsidR="00D17652" w:rsidRPr="00053B77" w:rsidRDefault="00283CF2" w:rsidP="00805C22">
                      <w:pPr>
                        <w:pStyle w:val="BodyText"/>
                        <w:numPr>
                          <w:ilvl w:val="0"/>
                          <w:numId w:val="60"/>
                        </w:numPr>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F</w:t>
                      </w:r>
                      <w:r w:rsidR="00D17652" w:rsidRPr="00053B77">
                        <w:rPr>
                          <w:rFonts w:ascii="Open Sans" w:eastAsiaTheme="minorHAnsi" w:hAnsi="Open Sans" w:cstheme="minorBidi"/>
                          <w:color w:val="auto"/>
                          <w:sz w:val="24"/>
                          <w:szCs w:val="22"/>
                          <w:lang w:eastAsia="en-US"/>
                        </w:rPr>
                        <w:t xml:space="preserve">or </w:t>
                      </w:r>
                      <w:r w:rsidR="00D17652" w:rsidRPr="00053B77">
                        <w:rPr>
                          <w:rFonts w:ascii="Open Sans SemiBold" w:eastAsia="Open Sans SemiBold" w:hAnsi="Open Sans SemiBold" w:cs="Open Sans SemiBold"/>
                          <w:bCs/>
                          <w:color w:val="003399"/>
                          <w:sz w:val="24"/>
                          <w:lang w:eastAsia="en-US"/>
                        </w:rPr>
                        <w:t>direct aid</w:t>
                      </w:r>
                      <w:r w:rsidR="00D17652" w:rsidRPr="00053B77">
                        <w:rPr>
                          <w:rFonts w:ascii="Open Sans" w:eastAsiaTheme="minorHAnsi" w:hAnsi="Open Sans" w:cstheme="minorBidi"/>
                          <w:color w:val="auto"/>
                          <w:sz w:val="24"/>
                          <w:szCs w:val="22"/>
                          <w:lang w:eastAsia="en-US"/>
                        </w:rPr>
                        <w:t>, the controller verifies if the value of the actually awarded aid has exceeded the maximum amount of aid specified in the subsidy contract for the given project partner</w:t>
                      </w:r>
                      <w:r w:rsidRPr="00053B77">
                        <w:rPr>
                          <w:rFonts w:ascii="Open Sans" w:eastAsiaTheme="minorHAnsi" w:hAnsi="Open Sans" w:cstheme="minorBidi"/>
                          <w:color w:val="auto"/>
                          <w:sz w:val="24"/>
                          <w:szCs w:val="22"/>
                          <w:lang w:eastAsia="en-US"/>
                        </w:rPr>
                        <w:t>.</w:t>
                      </w:r>
                    </w:p>
                    <w:p w14:paraId="51BAA219" w14:textId="39E92E09" w:rsidR="00D17652" w:rsidRPr="00053B77" w:rsidRDefault="00283CF2" w:rsidP="00805C22">
                      <w:pPr>
                        <w:pStyle w:val="BodyText"/>
                        <w:numPr>
                          <w:ilvl w:val="0"/>
                          <w:numId w:val="60"/>
                        </w:numPr>
                        <w:rPr>
                          <w:rFonts w:ascii="Open Sans" w:eastAsiaTheme="minorHAnsi" w:hAnsi="Open Sans" w:cstheme="minorBidi"/>
                          <w:color w:val="auto"/>
                          <w:sz w:val="24"/>
                          <w:szCs w:val="22"/>
                          <w:lang w:eastAsia="en-US"/>
                        </w:rPr>
                      </w:pPr>
                      <w:r w:rsidRPr="00053B77">
                        <w:rPr>
                          <w:rFonts w:ascii="Open Sans" w:eastAsiaTheme="minorHAnsi" w:hAnsi="Open Sans" w:cstheme="minorBidi"/>
                          <w:color w:val="auto"/>
                          <w:sz w:val="24"/>
                          <w:szCs w:val="22"/>
                          <w:lang w:eastAsia="en-US"/>
                        </w:rPr>
                        <w:t>F</w:t>
                      </w:r>
                      <w:r w:rsidR="00D17652" w:rsidRPr="00053B77">
                        <w:rPr>
                          <w:rFonts w:ascii="Open Sans" w:eastAsiaTheme="minorHAnsi" w:hAnsi="Open Sans" w:cstheme="minorBidi"/>
                          <w:color w:val="auto"/>
                          <w:sz w:val="24"/>
                          <w:szCs w:val="22"/>
                          <w:lang w:eastAsia="en-US"/>
                        </w:rPr>
                        <w:t xml:space="preserve">or </w:t>
                      </w:r>
                      <w:r w:rsidR="00D17652" w:rsidRPr="00053B77">
                        <w:rPr>
                          <w:rFonts w:ascii="Open Sans SemiBold" w:eastAsia="Open Sans SemiBold" w:hAnsi="Open Sans SemiBold" w:cs="Open Sans SemiBold"/>
                          <w:bCs/>
                          <w:color w:val="003399"/>
                          <w:sz w:val="24"/>
                          <w:lang w:eastAsia="en-US"/>
                        </w:rPr>
                        <w:t>indirect aid</w:t>
                      </w:r>
                      <w:r w:rsidR="00D17652" w:rsidRPr="00053B77">
                        <w:rPr>
                          <w:rFonts w:ascii="Open Sans" w:eastAsiaTheme="minorHAnsi" w:hAnsi="Open Sans" w:cstheme="minorBidi"/>
                          <w:color w:val="auto"/>
                          <w:sz w:val="24"/>
                          <w:szCs w:val="22"/>
                          <w:lang w:eastAsia="en-US"/>
                        </w:rPr>
                        <w:t>, the controller verifies in formal terms in the documents concerning the awarded indirect aid (enumerated in the subsidy contract) if the admissible limit of co-financing has not been exceeded.</w:t>
                      </w:r>
                    </w:p>
                    <w:bookmarkEnd w:id="129"/>
                    <w:bookmarkEnd w:id="130"/>
                    <w:bookmarkEnd w:id="131"/>
                    <w:bookmarkEnd w:id="132"/>
                    <w:p w14:paraId="7FE96F52" w14:textId="77777777" w:rsidR="00D17652" w:rsidRPr="00D17652" w:rsidRDefault="00D17652" w:rsidP="00805C22"/>
                  </w:txbxContent>
                </v:textbox>
                <w10:anchorlock/>
              </v:shape>
            </w:pict>
          </mc:Fallback>
        </mc:AlternateContent>
      </w:r>
      <w:bookmarkStart w:id="127" w:name="_Toc147242432"/>
    </w:p>
    <w:p w14:paraId="15F14DF8" w14:textId="47B13015" w:rsidR="000A7C01" w:rsidRPr="00983FEC" w:rsidRDefault="000A7C01" w:rsidP="003C58C0">
      <w:pPr>
        <w:pStyle w:val="Heading1"/>
        <w:spacing w:line="360" w:lineRule="auto"/>
        <w:rPr>
          <w:rFonts w:eastAsia="Open Sans SemiBold"/>
        </w:rPr>
      </w:pPr>
      <w:r w:rsidRPr="00983FEC">
        <w:t xml:space="preserve">V </w:t>
      </w:r>
      <w:r w:rsidR="00B74DDD">
        <w:t>PROJECT PREPARATION, APPLICATION AND SELECTION</w:t>
      </w:r>
      <w:bookmarkEnd w:id="127"/>
    </w:p>
    <w:p w14:paraId="41C7DFBF" w14:textId="35F517A3" w:rsidR="000A7C01" w:rsidRPr="00D17652" w:rsidRDefault="00ED6A26" w:rsidP="003C58C0">
      <w:pPr>
        <w:pStyle w:val="Heading2"/>
        <w:spacing w:line="360" w:lineRule="auto"/>
      </w:pPr>
      <w:bookmarkStart w:id="128" w:name="_Toc147242433"/>
      <w:r w:rsidRPr="00D17652">
        <w:t xml:space="preserve">1 </w:t>
      </w:r>
      <w:r w:rsidR="000A7C01" w:rsidRPr="00D17652">
        <w:t>PROJECT GENERATION PROCESS</w:t>
      </w:r>
      <w:bookmarkEnd w:id="128"/>
    </w:p>
    <w:p w14:paraId="0315D6A1" w14:textId="23392E20" w:rsidR="00671D9F" w:rsidRPr="00D17652" w:rsidRDefault="00671D9F" w:rsidP="003C58C0">
      <w:pPr>
        <w:spacing w:line="360" w:lineRule="auto"/>
      </w:pPr>
      <w:bookmarkStart w:id="129" w:name="_Hlk103339559"/>
      <w:r w:rsidRPr="00D17652">
        <w:t>How to prepare a cross-border project?</w:t>
      </w:r>
    </w:p>
    <w:p w14:paraId="77D79AF4" w14:textId="1982CE0F" w:rsidR="00671D9F" w:rsidRPr="00D17652" w:rsidRDefault="00671D9F" w:rsidP="003C58C0">
      <w:pPr>
        <w:spacing w:line="360" w:lineRule="auto"/>
      </w:pPr>
      <w:r w:rsidRPr="00D17652">
        <w:t>Preparation of the cross-border project require</w:t>
      </w:r>
      <w:r w:rsidR="00863DB8" w:rsidRPr="00D17652">
        <w:t>s</w:t>
      </w:r>
      <w:r w:rsidRPr="00D17652">
        <w:t xml:space="preserve"> several steps which are necessary to form a project proposal relevant to the Programme. </w:t>
      </w:r>
    </w:p>
    <w:p w14:paraId="12D820BB" w14:textId="77777777" w:rsidR="00D17652" w:rsidRDefault="00671D9F" w:rsidP="003C58C0">
      <w:pPr>
        <w:spacing w:line="360" w:lineRule="auto"/>
      </w:pPr>
      <w:r w:rsidRPr="00D17652">
        <w:t xml:space="preserve">Please be informed that </w:t>
      </w:r>
      <w:r w:rsidR="00E22DCF" w:rsidRPr="00D17652">
        <w:t xml:space="preserve">the Programme has developed a new tool </w:t>
      </w:r>
      <w:r w:rsidRPr="00D17652">
        <w:t>for the submission process</w:t>
      </w:r>
      <w:r w:rsidR="00E22DCF" w:rsidRPr="00D17652">
        <w:t xml:space="preserve"> </w:t>
      </w:r>
      <w:r w:rsidRPr="00D17652">
        <w:t xml:space="preserve">– the </w:t>
      </w:r>
      <w:r w:rsidRPr="00D17652">
        <w:rPr>
          <w:rFonts w:ascii="Open Sans SemiBold" w:eastAsia="Open Sans SemiBold" w:hAnsi="Open Sans SemiBold" w:cs="Open Sans SemiBold"/>
          <w:bCs/>
          <w:color w:val="003399"/>
        </w:rPr>
        <w:t>WOD2021 Application system</w:t>
      </w:r>
      <w:r w:rsidR="00DD30C4" w:rsidRPr="00D17652">
        <w:t xml:space="preserve">, which is part of </w:t>
      </w:r>
      <w:r w:rsidR="00E22DCF" w:rsidRPr="00D17652">
        <w:t xml:space="preserve">the </w:t>
      </w:r>
      <w:r w:rsidR="00DD30C4" w:rsidRPr="00D17652">
        <w:t>Central Monitoring System – CST2021</w:t>
      </w:r>
      <w:r w:rsidRPr="00D17652">
        <w:t xml:space="preserve">. </w:t>
      </w:r>
    </w:p>
    <w:p w14:paraId="256072E3" w14:textId="3C39DCCB" w:rsidR="00671D9F" w:rsidRPr="00D17652" w:rsidRDefault="00DE3607" w:rsidP="003C58C0">
      <w:pPr>
        <w:spacing w:line="360" w:lineRule="auto"/>
      </w:pPr>
      <w:r w:rsidRPr="00D17652">
        <w:t xml:space="preserve">The Programme provides the </w:t>
      </w:r>
      <w:r w:rsidR="00671D9F" w:rsidRPr="00D17652">
        <w:rPr>
          <w:rFonts w:ascii="Open Sans SemiBold" w:eastAsia="Open Sans SemiBold" w:hAnsi="Open Sans SemiBold" w:cs="Open Sans SemiBold"/>
          <w:bCs/>
          <w:color w:val="003399"/>
        </w:rPr>
        <w:t>WOD2021 Applicant Manual</w:t>
      </w:r>
      <w:r w:rsidRPr="00D17652">
        <w:t xml:space="preserve"> with technical specifications on system usage. </w:t>
      </w:r>
    </w:p>
    <w:p w14:paraId="185D3874" w14:textId="76D57AAF" w:rsidR="00053B77" w:rsidRPr="00053B77" w:rsidRDefault="008B7734" w:rsidP="003C58C0">
      <w:pPr>
        <w:pStyle w:val="Heading3"/>
        <w:numPr>
          <w:ilvl w:val="1"/>
          <w:numId w:val="91"/>
        </w:numPr>
        <w:spacing w:line="360" w:lineRule="auto"/>
        <w:rPr>
          <w:noProof/>
        </w:rPr>
      </w:pPr>
      <w:bookmarkStart w:id="130" w:name="_Toc147242434"/>
      <w:bookmarkEnd w:id="129"/>
      <w:r w:rsidRPr="00D17652">
        <w:t>Preparation</w:t>
      </w:r>
      <w:r w:rsidR="0075342F" w:rsidRPr="00D17652">
        <w:t xml:space="preserve"> and submission</w:t>
      </w:r>
      <w:r w:rsidRPr="00D17652">
        <w:t xml:space="preserve"> of the project proposal</w:t>
      </w:r>
      <w:bookmarkEnd w:id="130"/>
      <w:r w:rsidR="00AA2929" w:rsidRPr="00AA2929">
        <w:rPr>
          <w:noProof/>
        </w:rPr>
        <w:t xml:space="preserve"> </w:t>
      </w:r>
      <w:bookmarkStart w:id="131" w:name="_Hlk103675477"/>
    </w:p>
    <w:p w14:paraId="17C3878B" w14:textId="77777777" w:rsidR="00D23153" w:rsidRDefault="00053B77" w:rsidP="003C58C0">
      <w:pPr>
        <w:pStyle w:val="ListParagraph"/>
        <w:numPr>
          <w:ilvl w:val="0"/>
          <w:numId w:val="92"/>
        </w:numPr>
        <w:spacing w:line="360" w:lineRule="auto"/>
      </w:pPr>
      <w:r w:rsidRPr="00053B77">
        <w:t>First step, The identified problem: To what problem will the project contribute a solution? What needs and challenges will be addressed by the project?</w:t>
      </w:r>
    </w:p>
    <w:p w14:paraId="49ADE41A" w14:textId="77777777" w:rsidR="00D23153" w:rsidRDefault="00053B77" w:rsidP="003C58C0">
      <w:pPr>
        <w:pStyle w:val="ListParagraph"/>
        <w:numPr>
          <w:ilvl w:val="0"/>
          <w:numId w:val="92"/>
        </w:numPr>
        <w:spacing w:line="360" w:lineRule="auto"/>
      </w:pPr>
      <w:r w:rsidRPr="00053B77">
        <w:t>Second step, Target groups and stakeholders: What problems of the target groups will be addressed? Who will benefit from the project?</w:t>
      </w:r>
    </w:p>
    <w:p w14:paraId="67761F4D" w14:textId="77777777" w:rsidR="00D23153" w:rsidRDefault="00053B77" w:rsidP="003C58C0">
      <w:pPr>
        <w:pStyle w:val="ListParagraph"/>
        <w:numPr>
          <w:ilvl w:val="0"/>
          <w:numId w:val="92"/>
        </w:numPr>
        <w:spacing w:line="360" w:lineRule="auto"/>
      </w:pPr>
      <w:r w:rsidRPr="00053B77">
        <w:lastRenderedPageBreak/>
        <w:t>Third step, Building cross-border partnership: Make sure the involved partners are eligible in accordance with the Programme rules, and relevant to solve the identified problem.</w:t>
      </w:r>
    </w:p>
    <w:p w14:paraId="44F9EB9B" w14:textId="77777777" w:rsidR="00D23153" w:rsidRDefault="00053B77" w:rsidP="003C58C0">
      <w:pPr>
        <w:pStyle w:val="ListParagraph"/>
        <w:numPr>
          <w:ilvl w:val="0"/>
          <w:numId w:val="92"/>
        </w:numPr>
        <w:spacing w:line="360" w:lineRule="auto"/>
      </w:pPr>
      <w:r w:rsidRPr="00053B77">
        <w:t>Fourth step, Project idea: Identify the project objectives (what do you want to achieve?) and results (what do you want to change?) To which Programme Measure will the project contribute?</w:t>
      </w:r>
    </w:p>
    <w:p w14:paraId="6CCEA390" w14:textId="77777777" w:rsidR="00D23153" w:rsidRDefault="00053B77" w:rsidP="003C58C0">
      <w:pPr>
        <w:pStyle w:val="ListParagraph"/>
        <w:numPr>
          <w:ilvl w:val="0"/>
          <w:numId w:val="92"/>
        </w:numPr>
        <w:spacing w:line="360" w:lineRule="auto"/>
      </w:pPr>
      <w:r w:rsidRPr="00053B77">
        <w:t>Fifth step, Intervention logic: Define the project output and results indicators through which the achievement of the project objective will be measured within the scope of the indicators predefined by the Programme in the specific Measure.</w:t>
      </w:r>
    </w:p>
    <w:p w14:paraId="3D08A255" w14:textId="77777777" w:rsidR="00D23153" w:rsidRDefault="00053B77" w:rsidP="003C58C0">
      <w:pPr>
        <w:pStyle w:val="ListParagraph"/>
        <w:numPr>
          <w:ilvl w:val="0"/>
          <w:numId w:val="92"/>
        </w:numPr>
        <w:spacing w:line="360" w:lineRule="auto"/>
      </w:pPr>
      <w:r w:rsidRPr="00053B77">
        <w:t>Sixth step, Project activities: Which actions, tools and methodologies will be implemented to achieve the results and objectives? Think of the ways to communicate and disseminate the project results to the stakeholders and target groups, as well as the wider public.</w:t>
      </w:r>
    </w:p>
    <w:p w14:paraId="10C1D080" w14:textId="77777777" w:rsidR="00D23153" w:rsidRDefault="00053B77" w:rsidP="003C58C0">
      <w:pPr>
        <w:pStyle w:val="ListParagraph"/>
        <w:numPr>
          <w:ilvl w:val="0"/>
          <w:numId w:val="92"/>
        </w:numPr>
        <w:spacing w:line="360" w:lineRule="auto"/>
      </w:pPr>
      <w:r w:rsidRPr="00053B77">
        <w:t>Seventh step, Project timeframe: How much time is needed to carry out all activities and achieve the planned outputs and results? Set the project timeframe with the determined start and end dates.</w:t>
      </w:r>
    </w:p>
    <w:p w14:paraId="5442C722" w14:textId="77777777" w:rsidR="00D23153" w:rsidRDefault="00053B77" w:rsidP="003C58C0">
      <w:pPr>
        <w:pStyle w:val="ListParagraph"/>
        <w:numPr>
          <w:ilvl w:val="0"/>
          <w:numId w:val="92"/>
        </w:numPr>
        <w:spacing w:line="360" w:lineRule="auto"/>
      </w:pPr>
      <w:r w:rsidRPr="00053B77">
        <w:t>Eighth step, Project budget: Form a project budget covering all financial needs to implement the project and achieve the results.</w:t>
      </w:r>
    </w:p>
    <w:p w14:paraId="1BFB8747" w14:textId="77777777" w:rsidR="00D23153" w:rsidRDefault="00D23153" w:rsidP="003C58C0">
      <w:pPr>
        <w:pStyle w:val="ListParagraph"/>
        <w:numPr>
          <w:ilvl w:val="0"/>
          <w:numId w:val="92"/>
        </w:numPr>
        <w:spacing w:line="360" w:lineRule="auto"/>
      </w:pPr>
      <w:r>
        <w:t xml:space="preserve">Ninth step, Preparing the Application Form: Create a profile of the Lead Applicant organisation in the WoD2021 Application system. Collect the necessary documents from the project partners and associated partners. </w:t>
      </w:r>
    </w:p>
    <w:p w14:paraId="1FF20C1C" w14:textId="189171A7" w:rsidR="00D23153" w:rsidRPr="00053B77" w:rsidRDefault="00D23153" w:rsidP="003C58C0">
      <w:pPr>
        <w:pStyle w:val="ListParagraph"/>
        <w:numPr>
          <w:ilvl w:val="0"/>
          <w:numId w:val="92"/>
        </w:numPr>
        <w:spacing w:line="360" w:lineRule="auto"/>
      </w:pPr>
      <w:r>
        <w:t xml:space="preserve">Tenth step, Submitting the Application Form: Complete and submit the Application form and all the required attachments via the WoD2021 Application system within the open Call for Proposals. </w:t>
      </w:r>
    </w:p>
    <w:p w14:paraId="5CABC6B8" w14:textId="188947E6" w:rsidR="008B7734" w:rsidRPr="006A28C3" w:rsidRDefault="00EB6481" w:rsidP="003C58C0">
      <w:pPr>
        <w:spacing w:line="360" w:lineRule="auto"/>
      </w:pPr>
      <w:r w:rsidRPr="00D23153">
        <w:rPr>
          <w:rFonts w:ascii="Open Sans ExtraBold" w:eastAsia="Open Sans SemiBold" w:hAnsi="Open Sans ExtraBold" w:cs="Open Sans ExtraBold"/>
          <w:bCs/>
          <w:color w:val="003399"/>
        </w:rPr>
        <w:lastRenderedPageBreak/>
        <w:t>NB:</w:t>
      </w:r>
      <w:r w:rsidRPr="006A28C3">
        <w:rPr>
          <w:rFonts w:ascii="Open Sans ExtraBold"/>
          <w:b/>
          <w:spacing w:val="-2"/>
        </w:rPr>
        <w:t xml:space="preserve"> </w:t>
      </w:r>
      <w:r w:rsidRPr="00D23153">
        <w:rPr>
          <w:rFonts w:ascii="Open Sans SemiBold" w:eastAsia="Open Sans SemiBold" w:hAnsi="Open Sans SemiBold" w:cs="Open Sans SemiBold"/>
          <w:bCs/>
          <w:color w:val="003399"/>
        </w:rPr>
        <w:t>Applicants are strongly recommended to consult their project ideas first with the Programme Contact Points and then with the Joint Secretariat before submitting the project proposal!</w:t>
      </w:r>
      <w:bookmarkEnd w:id="131"/>
    </w:p>
    <w:p w14:paraId="06CE727B" w14:textId="7D476DD1" w:rsidR="00053B77" w:rsidRDefault="008B7734" w:rsidP="003C58C0">
      <w:pPr>
        <w:spacing w:line="360" w:lineRule="auto"/>
      </w:pPr>
      <w:r w:rsidRPr="00EB6481">
        <w:t>Within the project development process</w:t>
      </w:r>
      <w:r w:rsidR="00E22DCF" w:rsidRPr="00EB6481">
        <w:t>,</w:t>
      </w:r>
      <w:r w:rsidRPr="00EB6481">
        <w:t xml:space="preserve"> different steps may overlap and be adjusted accordingly. </w:t>
      </w:r>
    </w:p>
    <w:p w14:paraId="777D5277" w14:textId="74058F42" w:rsidR="008B7734" w:rsidRPr="00EB6481" w:rsidRDefault="008B7734" w:rsidP="003C58C0">
      <w:pPr>
        <w:spacing w:line="360" w:lineRule="auto"/>
      </w:pPr>
      <w:r w:rsidRPr="00EB6481">
        <w:t xml:space="preserve">Potential additional partners may join at any </w:t>
      </w:r>
      <w:r w:rsidR="00E22DCF" w:rsidRPr="00EB6481">
        <w:t>point in</w:t>
      </w:r>
      <w:r w:rsidRPr="00EB6481">
        <w:t xml:space="preserve"> the process, though the core of the partnership should be established </w:t>
      </w:r>
      <w:r w:rsidR="00E22DCF" w:rsidRPr="00EB6481">
        <w:t xml:space="preserve">at an </w:t>
      </w:r>
      <w:r w:rsidRPr="00EB6481">
        <w:t>early stage.</w:t>
      </w:r>
    </w:p>
    <w:p w14:paraId="7488781A" w14:textId="17B2A685" w:rsidR="000A7C01" w:rsidRPr="00EB6481" w:rsidRDefault="00ED6A26" w:rsidP="003C58C0">
      <w:pPr>
        <w:pStyle w:val="Heading3"/>
        <w:spacing w:line="360" w:lineRule="auto"/>
      </w:pPr>
      <w:bookmarkStart w:id="132" w:name="_Toc147242435"/>
      <w:r w:rsidRPr="00EB6481">
        <w:t>1</w:t>
      </w:r>
      <w:r w:rsidR="000A7C01" w:rsidRPr="00EB6481">
        <w:t>.</w:t>
      </w:r>
      <w:r w:rsidR="008B7734" w:rsidRPr="00EB6481">
        <w:t xml:space="preserve">2 </w:t>
      </w:r>
      <w:r w:rsidR="000A7C01" w:rsidRPr="00EB6481">
        <w:t>Programme services</w:t>
      </w:r>
      <w:bookmarkEnd w:id="132"/>
    </w:p>
    <w:p w14:paraId="33C5B7C2" w14:textId="77777777" w:rsidR="000A7C01" w:rsidRPr="00EB6481" w:rsidRDefault="000A7C01" w:rsidP="003C58C0">
      <w:pPr>
        <w:spacing w:line="360" w:lineRule="auto"/>
      </w:pPr>
      <w:r w:rsidRPr="00EB6481">
        <w:t xml:space="preserve">At every stage of the project generation process, the Programme offers support to the potential applicants to submit the proposal. The tools and services include: </w:t>
      </w:r>
    </w:p>
    <w:p w14:paraId="43275B8D" w14:textId="2C0FEE16" w:rsidR="000A7C01" w:rsidRPr="00EB6481" w:rsidRDefault="006E191C" w:rsidP="003C58C0">
      <w:pPr>
        <w:pStyle w:val="ListParagraph"/>
        <w:numPr>
          <w:ilvl w:val="0"/>
          <w:numId w:val="22"/>
        </w:numPr>
        <w:spacing w:line="360" w:lineRule="auto"/>
      </w:pPr>
      <w:hyperlink r:id="rId32" w:history="1">
        <w:r w:rsidR="00EB6481" w:rsidRPr="00DC4ED8">
          <w:rPr>
            <w:rFonts w:ascii="Open Sans ExtraBold"/>
            <w:b/>
            <w:color w:val="003399"/>
            <w:spacing w:val="-2"/>
          </w:rPr>
          <w:t>Programme website</w:t>
        </w:r>
      </w:hyperlink>
      <w:r w:rsidR="000A7C01" w:rsidRPr="00EB6481">
        <w:t xml:space="preserve"> is the main source for information about the Programme including access to all documents, FAQ, announcements on calls for proposals</w:t>
      </w:r>
      <w:r w:rsidR="007636CB" w:rsidRPr="00EB6481">
        <w:t>,</w:t>
      </w:r>
      <w:r w:rsidR="000A7C01" w:rsidRPr="00EB6481">
        <w:t xml:space="preserve"> etc. </w:t>
      </w:r>
    </w:p>
    <w:p w14:paraId="57F01467" w14:textId="5127E418" w:rsidR="000A7C01" w:rsidRPr="00EB6481" w:rsidRDefault="000A7C01" w:rsidP="003C58C0">
      <w:pPr>
        <w:pStyle w:val="ListParagraph"/>
        <w:numPr>
          <w:ilvl w:val="0"/>
          <w:numId w:val="22"/>
        </w:numPr>
        <w:spacing w:line="360" w:lineRule="auto"/>
      </w:pPr>
      <w:r w:rsidRPr="00EB6481">
        <w:rPr>
          <w:rFonts w:ascii="Open Sans SemiBold" w:eastAsia="Open Sans SemiBold" w:hAnsi="Open Sans SemiBold" w:cs="Open Sans SemiBold"/>
          <w:bCs/>
          <w:color w:val="003399"/>
        </w:rPr>
        <w:t>W</w:t>
      </w:r>
      <w:r w:rsidR="00703799" w:rsidRPr="00EB6481">
        <w:rPr>
          <w:rFonts w:ascii="Open Sans SemiBold" w:eastAsia="Open Sans SemiBold" w:hAnsi="Open Sans SemiBold" w:cs="Open Sans SemiBold"/>
          <w:bCs/>
          <w:color w:val="003399"/>
        </w:rPr>
        <w:t>O</w:t>
      </w:r>
      <w:r w:rsidRPr="00EB6481">
        <w:rPr>
          <w:rFonts w:ascii="Open Sans SemiBold" w:eastAsia="Open Sans SemiBold" w:hAnsi="Open Sans SemiBold" w:cs="Open Sans SemiBold"/>
          <w:bCs/>
          <w:color w:val="003399"/>
        </w:rPr>
        <w:t>D2021 Application system</w:t>
      </w:r>
      <w:r w:rsidRPr="00EB6481">
        <w:t xml:space="preserve"> is the system developed to facilitate the application process where registered organi</w:t>
      </w:r>
      <w:r w:rsidR="004C3F0F" w:rsidRPr="00EB6481">
        <w:t>s</w:t>
      </w:r>
      <w:r w:rsidRPr="00EB6481">
        <w:t>ation</w:t>
      </w:r>
      <w:r w:rsidR="00AC31B9" w:rsidRPr="00EB6481">
        <w:t>s</w:t>
      </w:r>
      <w:r w:rsidRPr="00EB6481">
        <w:t xml:space="preserve"> can submit the Application Form and go through the whole assessment process including correspondence with the JS and obtainment of results.</w:t>
      </w:r>
    </w:p>
    <w:p w14:paraId="304B87A3" w14:textId="4F20925A" w:rsidR="000A7C01" w:rsidRPr="00EB6481" w:rsidRDefault="000A7C01" w:rsidP="003C58C0">
      <w:pPr>
        <w:pStyle w:val="ListParagraph"/>
        <w:numPr>
          <w:ilvl w:val="0"/>
          <w:numId w:val="22"/>
        </w:numPr>
        <w:spacing w:line="360" w:lineRule="auto"/>
      </w:pPr>
      <w:r w:rsidRPr="00EB6481">
        <w:rPr>
          <w:rFonts w:ascii="Open Sans SemiBold" w:eastAsia="Open Sans SemiBold" w:hAnsi="Open Sans SemiBold" w:cs="Open Sans SemiBold"/>
          <w:bCs/>
          <w:color w:val="003399"/>
        </w:rPr>
        <w:t>Partner Search Tool</w:t>
      </w:r>
      <w:r w:rsidRPr="00EB6481">
        <w:t xml:space="preserve"> (accessible through the </w:t>
      </w:r>
      <w:hyperlink r:id="rId33" w:history="1">
        <w:r w:rsidRPr="00EB6481">
          <w:t>Programme website</w:t>
        </w:r>
      </w:hyperlink>
      <w:r w:rsidRPr="00EB6481">
        <w:t>) is an online form where registered members can find relevant organi</w:t>
      </w:r>
      <w:r w:rsidR="004C3F0F" w:rsidRPr="00EB6481">
        <w:t>s</w:t>
      </w:r>
      <w:r w:rsidRPr="00EB6481">
        <w:t>ations to form a future partnership.</w:t>
      </w:r>
    </w:p>
    <w:p w14:paraId="5C9F5859" w14:textId="6E4DDE2D" w:rsidR="000A7C01" w:rsidRPr="00EB6481" w:rsidRDefault="000A7C01" w:rsidP="003C58C0">
      <w:pPr>
        <w:pStyle w:val="ListParagraph"/>
        <w:numPr>
          <w:ilvl w:val="0"/>
          <w:numId w:val="22"/>
        </w:numPr>
        <w:spacing w:line="360" w:lineRule="auto"/>
      </w:pPr>
      <w:r w:rsidRPr="00EB6481">
        <w:rPr>
          <w:rFonts w:ascii="Open Sans SemiBold" w:eastAsia="Open Sans SemiBold" w:hAnsi="Open Sans SemiBold" w:cs="Open Sans SemiBold"/>
          <w:bCs/>
          <w:color w:val="003399"/>
        </w:rPr>
        <w:t>Knowledge bank tool</w:t>
      </w:r>
      <w:r w:rsidRPr="00EB6481">
        <w:t xml:space="preserve"> (accessible through the </w:t>
      </w:r>
      <w:hyperlink r:id="rId34" w:history="1">
        <w:r w:rsidRPr="00EB6481">
          <w:t>Programme website</w:t>
        </w:r>
      </w:hyperlink>
      <w:r w:rsidRPr="00EB6481">
        <w:t xml:space="preserve">) gives an overview of the various solutions and tools developed and trialled by South Baltic projects from 2008 to date. </w:t>
      </w:r>
    </w:p>
    <w:p w14:paraId="680D29E4" w14:textId="28D8CBAF" w:rsidR="000A7C01" w:rsidRPr="00EB6481" w:rsidRDefault="000A7C01" w:rsidP="003C58C0">
      <w:pPr>
        <w:pStyle w:val="ListParagraph"/>
        <w:numPr>
          <w:ilvl w:val="0"/>
          <w:numId w:val="22"/>
        </w:numPr>
        <w:spacing w:line="360" w:lineRule="auto"/>
      </w:pPr>
      <w:r w:rsidRPr="00EB6481">
        <w:rPr>
          <w:rFonts w:ascii="Open Sans SemiBold" w:eastAsia="Open Sans SemiBold" w:hAnsi="Open Sans SemiBold" w:cs="Open Sans SemiBold"/>
          <w:bCs/>
          <w:color w:val="003399"/>
        </w:rPr>
        <w:t>Contact Points</w:t>
      </w:r>
      <w:r w:rsidRPr="00EB6481">
        <w:t xml:space="preserve"> in participating Member States to provide applicants with comprehensive information on </w:t>
      </w:r>
      <w:r w:rsidR="00B942F2" w:rsidRPr="00EB6481">
        <w:t xml:space="preserve">the </w:t>
      </w:r>
      <w:r w:rsidRPr="00EB6481">
        <w:t>procedures and rules of the Programme.</w:t>
      </w:r>
    </w:p>
    <w:p w14:paraId="5C0D0EAE" w14:textId="200ABA84" w:rsidR="000A7C01" w:rsidRPr="00EB6481" w:rsidRDefault="000A7C01" w:rsidP="003C58C0">
      <w:pPr>
        <w:pStyle w:val="ListParagraph"/>
        <w:numPr>
          <w:ilvl w:val="0"/>
          <w:numId w:val="22"/>
        </w:numPr>
        <w:spacing w:line="360" w:lineRule="auto"/>
      </w:pPr>
      <w:r w:rsidRPr="00EB6481">
        <w:rPr>
          <w:rFonts w:ascii="Open Sans SemiBold" w:eastAsia="Open Sans SemiBold" w:hAnsi="Open Sans SemiBold" w:cs="Open Sans SemiBold"/>
          <w:bCs/>
          <w:color w:val="003399"/>
        </w:rPr>
        <w:lastRenderedPageBreak/>
        <w:t>Training and information meetings</w:t>
      </w:r>
      <w:r w:rsidR="00850A3D" w:rsidRPr="00EB6481">
        <w:rPr>
          <w:rFonts w:ascii="Open Sans SemiBold" w:eastAsia="Open Sans SemiBold" w:hAnsi="Open Sans SemiBold" w:cs="Open Sans SemiBold"/>
          <w:bCs/>
          <w:color w:val="003399"/>
        </w:rPr>
        <w:t>.</w:t>
      </w:r>
      <w:r w:rsidRPr="00EB6481">
        <w:t xml:space="preserve"> The JS and the Contact Points organi</w:t>
      </w:r>
      <w:r w:rsidR="004C3F0F" w:rsidRPr="00EB6481">
        <w:t>s</w:t>
      </w:r>
      <w:r w:rsidRPr="00EB6481">
        <w:t>e various thematic events for applicants and potential beneficiaries. These events are useful in clarifying any doubts and finding responses to questions related to the Programme.</w:t>
      </w:r>
    </w:p>
    <w:p w14:paraId="26992147" w14:textId="0BB978DD" w:rsidR="004136D9" w:rsidRPr="004F78BE" w:rsidRDefault="000A7C01" w:rsidP="003C58C0">
      <w:pPr>
        <w:pStyle w:val="ListParagraph"/>
        <w:numPr>
          <w:ilvl w:val="0"/>
          <w:numId w:val="22"/>
        </w:numPr>
        <w:spacing w:line="360" w:lineRule="auto"/>
      </w:pPr>
      <w:r w:rsidRPr="00EB6481">
        <w:rPr>
          <w:rFonts w:ascii="Open Sans SemiBold" w:eastAsia="Open Sans SemiBold" w:hAnsi="Open Sans SemiBold" w:cs="Open Sans SemiBold"/>
          <w:bCs/>
          <w:color w:val="003399"/>
        </w:rPr>
        <w:t>Consultation services.</w:t>
      </w:r>
      <w:r w:rsidRPr="00EB6481">
        <w:t xml:space="preserve"> The initial project idea can be consulted on </w:t>
      </w:r>
      <w:r w:rsidR="00D36BB5" w:rsidRPr="00EB6481">
        <w:t xml:space="preserve">with </w:t>
      </w:r>
      <w:r w:rsidR="00B942F2" w:rsidRPr="00EB6481">
        <w:t xml:space="preserve">a </w:t>
      </w:r>
      <w:r w:rsidR="00D36BB5" w:rsidRPr="00EB6481">
        <w:t>Contact</w:t>
      </w:r>
      <w:r w:rsidRPr="00EB6481">
        <w:t xml:space="preserve"> Point to obtain </w:t>
      </w:r>
      <w:r w:rsidR="00B942F2" w:rsidRPr="00EB6481">
        <w:t>an initial</w:t>
      </w:r>
      <w:r w:rsidRPr="00EB6481">
        <w:t xml:space="preserve"> opinion on its relevance to the Programme. At a later stage of project generation, the project owner can consult the JS, if relevant.</w:t>
      </w:r>
    </w:p>
    <w:p w14:paraId="630A827D" w14:textId="6A06EC5C" w:rsidR="00C03831" w:rsidRPr="00393BE3" w:rsidRDefault="00C03831" w:rsidP="003C58C0">
      <w:pPr>
        <w:pStyle w:val="Heading2"/>
        <w:spacing w:line="360" w:lineRule="auto"/>
      </w:pPr>
      <w:bookmarkStart w:id="133" w:name="_Toc147242436"/>
      <w:r w:rsidRPr="00393BE3">
        <w:t>2 CENTRAL INFORMATION AND COMMUNICATION TECHNOLOGY SYSTEM 2021</w:t>
      </w:r>
      <w:bookmarkEnd w:id="133"/>
    </w:p>
    <w:p w14:paraId="74887366" w14:textId="729A297F" w:rsidR="00393BE3" w:rsidRPr="00393BE3" w:rsidRDefault="00393BE3" w:rsidP="003C58C0">
      <w:pPr>
        <w:spacing w:line="360" w:lineRule="auto"/>
      </w:pPr>
      <w:r>
        <w:t xml:space="preserve">The </w:t>
      </w:r>
      <w:r w:rsidRPr="00393BE3">
        <w:t>electronic and paperless implementation of the Programme, in accordance with the EU provisions, is one of the simplifications continued and developed from previous programming periods. The Central Information and Communication Technology System 2021 (Polish: Centralny System Teleinformatyczny 2021, CST2021) will serve this purpose covering electronic data exchange between applicants, project partners and programme management bodies on different levels. All applicants and project partners, including lead partners, are obliged to use CST2021. The responsibility for building, developing, and maintaining the system rests on the Managing Authority.</w:t>
      </w:r>
    </w:p>
    <w:p w14:paraId="42C37C19" w14:textId="2C9701F0" w:rsidR="001436D2" w:rsidRPr="00393BE3" w:rsidRDefault="001436D2" w:rsidP="003C58C0">
      <w:pPr>
        <w:pStyle w:val="Heading3"/>
        <w:spacing w:line="360" w:lineRule="auto"/>
      </w:pPr>
      <w:bookmarkStart w:id="134" w:name="_Toc147242437"/>
      <w:r w:rsidRPr="00393BE3">
        <w:t>2.1 CST2021 Definition</w:t>
      </w:r>
      <w:bookmarkEnd w:id="134"/>
    </w:p>
    <w:p w14:paraId="22AFD9D2" w14:textId="67BCA1DE" w:rsidR="007F0AC9" w:rsidRPr="00393BE3" w:rsidRDefault="007F0AC9" w:rsidP="003C58C0">
      <w:pPr>
        <w:spacing w:line="360" w:lineRule="auto"/>
      </w:pPr>
      <w:r w:rsidRPr="00393BE3">
        <w:t>CST2021 is a central electronic data exchange system that supports</w:t>
      </w:r>
      <w:r w:rsidR="00DE4971" w:rsidRPr="00393BE3">
        <w:t xml:space="preserve"> the</w:t>
      </w:r>
      <w:r w:rsidRPr="00393BE3">
        <w:t xml:space="preserve"> following processes:</w:t>
      </w:r>
    </w:p>
    <w:p w14:paraId="4F440FFA" w14:textId="336A01FD" w:rsidR="007F0AC9" w:rsidRPr="00393BE3" w:rsidRDefault="00283CF2" w:rsidP="003C58C0">
      <w:pPr>
        <w:pStyle w:val="ListParagraph"/>
        <w:numPr>
          <w:ilvl w:val="0"/>
          <w:numId w:val="20"/>
        </w:numPr>
        <w:spacing w:line="360" w:lineRule="auto"/>
      </w:pPr>
      <w:r>
        <w:t>A</w:t>
      </w:r>
      <w:r w:rsidR="007F0AC9" w:rsidRPr="00393BE3">
        <w:t>pplying for funds (call for proposals, Application Forms, assessment)</w:t>
      </w:r>
      <w:r>
        <w:t>.</w:t>
      </w:r>
    </w:p>
    <w:p w14:paraId="0125B6A0" w14:textId="12E4C757" w:rsidR="007F0AC9" w:rsidRPr="00393BE3" w:rsidRDefault="00283CF2" w:rsidP="003C58C0">
      <w:pPr>
        <w:pStyle w:val="ListParagraph"/>
        <w:numPr>
          <w:ilvl w:val="0"/>
          <w:numId w:val="20"/>
        </w:numPr>
        <w:spacing w:line="360" w:lineRule="auto"/>
      </w:pPr>
      <w:r>
        <w:t>U</w:t>
      </w:r>
      <w:r w:rsidR="007F0AC9" w:rsidRPr="00393BE3">
        <w:t>pdating projects from the moment of selection for co-financing (clarifications)</w:t>
      </w:r>
      <w:r>
        <w:t>.</w:t>
      </w:r>
    </w:p>
    <w:p w14:paraId="1EDBD292" w14:textId="7D8C8212" w:rsidR="007F0AC9" w:rsidRPr="00393BE3" w:rsidRDefault="00283CF2" w:rsidP="003C58C0">
      <w:pPr>
        <w:pStyle w:val="ListParagraph"/>
        <w:numPr>
          <w:ilvl w:val="0"/>
          <w:numId w:val="20"/>
        </w:numPr>
        <w:spacing w:line="360" w:lineRule="auto"/>
      </w:pPr>
      <w:r>
        <w:t>P</w:t>
      </w:r>
      <w:r w:rsidR="007F0AC9" w:rsidRPr="00393BE3">
        <w:t>roject monitoring (including financial reporting), verification, control and audit</w:t>
      </w:r>
      <w:r>
        <w:t>.</w:t>
      </w:r>
    </w:p>
    <w:p w14:paraId="7229F897" w14:textId="0FEB99EA" w:rsidR="007F0AC9" w:rsidRPr="00393BE3" w:rsidRDefault="00283CF2" w:rsidP="003C58C0">
      <w:pPr>
        <w:pStyle w:val="ListParagraph"/>
        <w:numPr>
          <w:ilvl w:val="0"/>
          <w:numId w:val="20"/>
        </w:numPr>
        <w:spacing w:line="360" w:lineRule="auto"/>
      </w:pPr>
      <w:r>
        <w:lastRenderedPageBreak/>
        <w:t>C</w:t>
      </w:r>
      <w:r w:rsidR="007F0AC9" w:rsidRPr="00393BE3">
        <w:t>ertification of expenditures to the European Commission.</w:t>
      </w:r>
    </w:p>
    <w:p w14:paraId="69962737" w14:textId="7BE9B674" w:rsidR="001436D2" w:rsidRPr="00393BE3" w:rsidRDefault="001436D2" w:rsidP="003C58C0">
      <w:pPr>
        <w:pStyle w:val="Heading3"/>
        <w:spacing w:line="360" w:lineRule="auto"/>
      </w:pPr>
      <w:bookmarkStart w:id="135" w:name="_Toc147242438"/>
      <w:r w:rsidRPr="00393BE3">
        <w:t>2.2 Application included in CST2021</w:t>
      </w:r>
      <w:bookmarkEnd w:id="135"/>
    </w:p>
    <w:p w14:paraId="461D871D" w14:textId="77777777" w:rsidR="007F0AC9" w:rsidRPr="00393BE3" w:rsidRDefault="007F0AC9" w:rsidP="003C58C0">
      <w:pPr>
        <w:spacing w:line="360" w:lineRule="auto"/>
      </w:pPr>
      <w:r w:rsidRPr="00393BE3">
        <w:t xml:space="preserve">CST2021 is a complex system containing several applications dedicated for the specific processes. </w:t>
      </w:r>
    </w:p>
    <w:p w14:paraId="75D5398D" w14:textId="77777777" w:rsidR="007F0AC9" w:rsidRPr="00393BE3" w:rsidRDefault="007F0AC9" w:rsidP="003C58C0">
      <w:pPr>
        <w:spacing w:line="360" w:lineRule="auto"/>
      </w:pPr>
      <w:r w:rsidRPr="00393BE3">
        <w:t>For applicants, project partners and Programme bodies:</w:t>
      </w:r>
    </w:p>
    <w:p w14:paraId="100DC425" w14:textId="5990EC8C" w:rsidR="007F0AC9" w:rsidRPr="00393BE3" w:rsidRDefault="007F0AC9" w:rsidP="003C58C0">
      <w:pPr>
        <w:pStyle w:val="ListParagraph"/>
        <w:numPr>
          <w:ilvl w:val="0"/>
          <w:numId w:val="61"/>
        </w:numPr>
        <w:spacing w:line="360" w:lineRule="auto"/>
      </w:pPr>
      <w:r w:rsidRPr="00393BE3">
        <w:rPr>
          <w:rFonts w:ascii="Open Sans SemiBold" w:eastAsia="Open Sans SemiBold" w:hAnsi="Open Sans SemiBold" w:cs="Open Sans SemiBold"/>
          <w:bCs/>
          <w:color w:val="003399"/>
        </w:rPr>
        <w:t>SZT2021</w:t>
      </w:r>
      <w:r w:rsidRPr="00393BE3">
        <w:t xml:space="preserve"> –</w:t>
      </w:r>
      <w:r w:rsidR="00DE4971" w:rsidRPr="00393BE3">
        <w:t xml:space="preserve"> </w:t>
      </w:r>
      <w:r w:rsidRPr="00393BE3">
        <w:t xml:space="preserve">Single Sign On application: Identity Management System, common login gateway that enables logged-in users to switch between the CST2021 system applications to which they have been granted access. </w:t>
      </w:r>
    </w:p>
    <w:p w14:paraId="7B2A84E6" w14:textId="253E3606" w:rsidR="007F0AC9" w:rsidRPr="00393BE3" w:rsidRDefault="007F0AC9" w:rsidP="003C58C0">
      <w:pPr>
        <w:pStyle w:val="ListParagraph"/>
        <w:numPr>
          <w:ilvl w:val="0"/>
          <w:numId w:val="61"/>
        </w:numPr>
        <w:spacing w:line="360" w:lineRule="auto"/>
      </w:pPr>
      <w:r w:rsidRPr="00393BE3">
        <w:rPr>
          <w:rFonts w:ascii="Open Sans SemiBold" w:eastAsia="Open Sans SemiBold" w:hAnsi="Open Sans SemiBold" w:cs="Open Sans SemiBold"/>
          <w:bCs/>
          <w:color w:val="003399"/>
        </w:rPr>
        <w:t>WOD2021</w:t>
      </w:r>
      <w:r w:rsidRPr="00393BE3">
        <w:t xml:space="preserve"> – applying for funds: an application </w:t>
      </w:r>
      <w:r w:rsidR="00DE4971" w:rsidRPr="00393BE3">
        <w:t xml:space="preserve">that </w:t>
      </w:r>
      <w:r w:rsidRPr="00393BE3">
        <w:t xml:space="preserve">facilitates the process of applying </w:t>
      </w:r>
      <w:r w:rsidR="00DE4971" w:rsidRPr="00393BE3">
        <w:t xml:space="preserve">for </w:t>
      </w:r>
      <w:r w:rsidRPr="00393BE3">
        <w:t>and selecti</w:t>
      </w:r>
      <w:r w:rsidR="00DE4971" w:rsidRPr="00393BE3">
        <w:t>ng</w:t>
      </w:r>
      <w:r w:rsidRPr="00393BE3">
        <w:t xml:space="preserve"> projects for co-financing including:</w:t>
      </w:r>
      <w:r w:rsidR="00C32F77" w:rsidRPr="00393BE3">
        <w:t xml:space="preserve"> </w:t>
      </w:r>
      <w:r w:rsidRPr="00393BE3">
        <w:t>announcing calls for proposals, preparing and submitting Application Forms, recording the outcomes of project assessment</w:t>
      </w:r>
      <w:r w:rsidR="00DE4971" w:rsidRPr="00393BE3">
        <w:t>s</w:t>
      </w:r>
      <w:r w:rsidRPr="00393BE3">
        <w:t xml:space="preserve">, </w:t>
      </w:r>
      <w:r w:rsidR="00DE4971" w:rsidRPr="00393BE3">
        <w:t>and</w:t>
      </w:r>
      <w:r w:rsidRPr="00393BE3">
        <w:t xml:space="preserve"> transfer</w:t>
      </w:r>
      <w:r w:rsidR="00DE4971" w:rsidRPr="00393BE3">
        <w:t>ring</w:t>
      </w:r>
      <w:r w:rsidRPr="00393BE3">
        <w:t xml:space="preserve"> data to SL2021. </w:t>
      </w:r>
    </w:p>
    <w:p w14:paraId="29395402" w14:textId="75BD3196" w:rsidR="007F0AC9" w:rsidRPr="00393BE3" w:rsidRDefault="007F0AC9" w:rsidP="003C58C0">
      <w:pPr>
        <w:pStyle w:val="ListParagraph"/>
        <w:numPr>
          <w:ilvl w:val="0"/>
          <w:numId w:val="61"/>
        </w:numPr>
        <w:spacing w:line="360" w:lineRule="auto"/>
      </w:pPr>
      <w:r w:rsidRPr="00393BE3">
        <w:rPr>
          <w:rFonts w:ascii="Open Sans SemiBold" w:eastAsia="Open Sans SemiBold" w:hAnsi="Open Sans SemiBold" w:cs="Open Sans SemiBold"/>
          <w:bCs/>
          <w:color w:val="003399"/>
        </w:rPr>
        <w:t>SL2021</w:t>
      </w:r>
      <w:r w:rsidRPr="00393BE3">
        <w:t xml:space="preserve"> – project management application from the moment of selection for co-financing</w:t>
      </w:r>
      <w:r w:rsidR="00DE4971" w:rsidRPr="00393BE3">
        <w:t>,</w:t>
      </w:r>
      <w:r w:rsidRPr="00393BE3">
        <w:t xml:space="preserve"> covering updates/changes in projects; correspondence between project partners and programme bodies; reporting </w:t>
      </w:r>
      <w:r w:rsidR="00DE4971" w:rsidRPr="00393BE3">
        <w:t xml:space="preserve">at the </w:t>
      </w:r>
      <w:r w:rsidRPr="00393BE3">
        <w:t>partial and project level; recording data on financial schedules, public procurements and contracts</w:t>
      </w:r>
      <w:r w:rsidR="00DE4971" w:rsidRPr="00393BE3">
        <w:t>,</w:t>
      </w:r>
      <w:r w:rsidRPr="00393BE3">
        <w:t xml:space="preserve"> and project personnel. </w:t>
      </w:r>
    </w:p>
    <w:p w14:paraId="308C27F2" w14:textId="77777777" w:rsidR="00DB4FC6" w:rsidRPr="00393BE3" w:rsidRDefault="00DB4FC6" w:rsidP="003C58C0">
      <w:pPr>
        <w:spacing w:line="360" w:lineRule="auto"/>
      </w:pPr>
      <w:r w:rsidRPr="00393BE3">
        <w:t>For project partners from Poland only, bidders and Programme bodies:</w:t>
      </w:r>
    </w:p>
    <w:p w14:paraId="55685E86" w14:textId="77777777" w:rsidR="007F0AC9" w:rsidRPr="008D5857" w:rsidRDefault="007F0AC9" w:rsidP="003C58C0">
      <w:pPr>
        <w:spacing w:line="360" w:lineRule="auto"/>
        <w:rPr>
          <w:rFonts w:ascii="Segoe UI" w:hAnsi="Segoe UI" w:cs="Segoe UI"/>
          <w:lang w:val="en-GB"/>
        </w:rPr>
      </w:pPr>
      <w:r w:rsidRPr="00393BE3">
        <w:rPr>
          <w:rFonts w:ascii="Open Sans SemiBold" w:eastAsia="Open Sans SemiBold" w:hAnsi="Open Sans SemiBold" w:cs="Open Sans SemiBold"/>
          <w:bCs/>
          <w:color w:val="003399"/>
        </w:rPr>
        <w:t>BK2021</w:t>
      </w:r>
      <w:r w:rsidRPr="00393BE3">
        <w:t xml:space="preserve"> – supporting the implementation of the competitiveness principle. </w:t>
      </w:r>
    </w:p>
    <w:p w14:paraId="1FFF12DF" w14:textId="1BBB99D8" w:rsidR="007F0AC9" w:rsidRPr="00393BE3" w:rsidRDefault="007F0AC9" w:rsidP="003C58C0">
      <w:pPr>
        <w:spacing w:line="360" w:lineRule="auto"/>
      </w:pPr>
      <w:r w:rsidRPr="00393BE3">
        <w:t xml:space="preserve">The CST2021 also </w:t>
      </w:r>
      <w:r w:rsidR="00395DA0" w:rsidRPr="00393BE3">
        <w:t xml:space="preserve">contains </w:t>
      </w:r>
      <w:r w:rsidRPr="00393BE3">
        <w:t>microservices dedicated for Programme bodies only:</w:t>
      </w:r>
    </w:p>
    <w:p w14:paraId="1783C6D6" w14:textId="0709B183" w:rsidR="007F0AC9" w:rsidRPr="00393BE3" w:rsidRDefault="007F0AC9" w:rsidP="003C58C0">
      <w:pPr>
        <w:pStyle w:val="ListParagraph"/>
        <w:numPr>
          <w:ilvl w:val="0"/>
          <w:numId w:val="62"/>
        </w:numPr>
        <w:spacing w:line="360" w:lineRule="auto"/>
      </w:pPr>
      <w:r w:rsidRPr="00393BE3">
        <w:rPr>
          <w:rFonts w:ascii="Open Sans SemiBold" w:eastAsia="Open Sans SemiBold" w:hAnsi="Open Sans SemiBold" w:cs="Open Sans SemiBold"/>
          <w:bCs/>
          <w:color w:val="003399"/>
        </w:rPr>
        <w:t>Administration</w:t>
      </w:r>
      <w:r w:rsidRPr="00393BE3">
        <w:t xml:space="preserve"> </w:t>
      </w:r>
      <w:r w:rsidR="00395DA0" w:rsidRPr="00393BE3">
        <w:t xml:space="preserve">– </w:t>
      </w:r>
      <w:r w:rsidRPr="00393BE3">
        <w:t>managing system access, implementing Programme data</w:t>
      </w:r>
      <w:r w:rsidR="00395DA0" w:rsidRPr="00393BE3">
        <w:t>.</w:t>
      </w:r>
    </w:p>
    <w:p w14:paraId="356FC0B5" w14:textId="4648BAEB" w:rsidR="007F0AC9" w:rsidRPr="00393BE3" w:rsidRDefault="007F0AC9" w:rsidP="003C58C0">
      <w:pPr>
        <w:pStyle w:val="ListParagraph"/>
        <w:numPr>
          <w:ilvl w:val="0"/>
          <w:numId w:val="62"/>
        </w:numPr>
        <w:spacing w:line="360" w:lineRule="auto"/>
      </w:pPr>
      <w:r w:rsidRPr="00393BE3">
        <w:rPr>
          <w:rFonts w:ascii="Open Sans SemiBold" w:eastAsia="Open Sans SemiBold" w:hAnsi="Open Sans SemiBold" w:cs="Open Sans SemiBold"/>
          <w:bCs/>
          <w:color w:val="003399"/>
        </w:rPr>
        <w:t>SL2021</w:t>
      </w:r>
      <w:r w:rsidR="00D07B80" w:rsidRPr="00393BE3">
        <w:rPr>
          <w:rFonts w:ascii="Open Sans SemiBold" w:eastAsia="Open Sans SemiBold" w:hAnsi="Open Sans SemiBold" w:cs="Open Sans SemiBold"/>
          <w:bCs/>
          <w:color w:val="003399"/>
        </w:rPr>
        <w:t>/</w:t>
      </w:r>
      <w:r w:rsidRPr="00393BE3">
        <w:rPr>
          <w:rFonts w:ascii="Open Sans SemiBold" w:eastAsia="Open Sans SemiBold" w:hAnsi="Open Sans SemiBold" w:cs="Open Sans SemiBold"/>
          <w:bCs/>
          <w:color w:val="003399"/>
        </w:rPr>
        <w:t>Certification section</w:t>
      </w:r>
      <w:r w:rsidR="00C32F77" w:rsidRPr="00393BE3">
        <w:t xml:space="preserve"> – </w:t>
      </w:r>
      <w:r w:rsidRPr="00393BE3">
        <w:t xml:space="preserve">supporting expenditure certification to </w:t>
      </w:r>
      <w:r w:rsidR="00395DA0" w:rsidRPr="00393BE3">
        <w:t xml:space="preserve">the </w:t>
      </w:r>
      <w:r w:rsidRPr="00393BE3">
        <w:t>European Commission for Programme bodies.</w:t>
      </w:r>
    </w:p>
    <w:p w14:paraId="1B40A5BD" w14:textId="4151981B" w:rsidR="007F0AC9" w:rsidRPr="00393BE3" w:rsidRDefault="007F0AC9" w:rsidP="003C58C0">
      <w:pPr>
        <w:pStyle w:val="ListParagraph"/>
        <w:numPr>
          <w:ilvl w:val="0"/>
          <w:numId w:val="62"/>
        </w:numPr>
        <w:spacing w:line="360" w:lineRule="auto"/>
      </w:pPr>
      <w:r w:rsidRPr="00393BE3">
        <w:rPr>
          <w:rFonts w:ascii="Open Sans SemiBold" w:eastAsia="Open Sans SemiBold" w:hAnsi="Open Sans SemiBold" w:cs="Open Sans SemiBold"/>
          <w:bCs/>
          <w:color w:val="003399"/>
        </w:rPr>
        <w:lastRenderedPageBreak/>
        <w:t>e-Control</w:t>
      </w:r>
      <w:r w:rsidRPr="00393BE3">
        <w:t xml:space="preserve"> – supporting audit</w:t>
      </w:r>
      <w:r w:rsidR="00395DA0" w:rsidRPr="00393BE3">
        <w:t>ing</w:t>
      </w:r>
      <w:r w:rsidRPr="00393BE3">
        <w:t xml:space="preserve"> and dedicated for authorised institutions to conduct and record </w:t>
      </w:r>
      <w:r w:rsidR="00395DA0" w:rsidRPr="00393BE3">
        <w:t xml:space="preserve">the </w:t>
      </w:r>
      <w:r w:rsidRPr="00393BE3">
        <w:t xml:space="preserve">full process of project controls. </w:t>
      </w:r>
    </w:p>
    <w:p w14:paraId="1A23102A" w14:textId="1503441B" w:rsidR="007F0AC9" w:rsidRPr="00393BE3" w:rsidRDefault="007F0AC9" w:rsidP="003C58C0">
      <w:pPr>
        <w:pStyle w:val="ListParagraph"/>
        <w:numPr>
          <w:ilvl w:val="0"/>
          <w:numId w:val="62"/>
        </w:numPr>
        <w:spacing w:line="360" w:lineRule="auto"/>
      </w:pPr>
      <w:r w:rsidRPr="00393BE3">
        <w:rPr>
          <w:rFonts w:ascii="Open Sans SemiBold" w:eastAsia="Open Sans SemiBold" w:hAnsi="Open Sans SemiBold" w:cs="Open Sans SemiBold"/>
          <w:bCs/>
          <w:color w:val="003399"/>
        </w:rPr>
        <w:t>Cross-Checks</w:t>
      </w:r>
      <w:r w:rsidRPr="00393BE3">
        <w:t xml:space="preserve"> – dedicated for verif</w:t>
      </w:r>
      <w:r w:rsidR="00395DA0" w:rsidRPr="00393BE3">
        <w:t>ying the</w:t>
      </w:r>
      <w:r w:rsidRPr="00393BE3">
        <w:t xml:space="preserve"> possible </w:t>
      </w:r>
      <w:r w:rsidR="00395DA0" w:rsidRPr="00393BE3">
        <w:t>double-</w:t>
      </w:r>
      <w:r w:rsidRPr="00393BE3">
        <w:t xml:space="preserve">financing of expenditures based on checks within the groups of correlated invoices declared by project partners in the reporting process. </w:t>
      </w:r>
    </w:p>
    <w:p w14:paraId="4E2FE031" w14:textId="71D0C94A" w:rsidR="007F0AC9" w:rsidRPr="00393BE3" w:rsidRDefault="007F0AC9" w:rsidP="003C58C0">
      <w:pPr>
        <w:pStyle w:val="ListParagraph"/>
        <w:numPr>
          <w:ilvl w:val="0"/>
          <w:numId w:val="62"/>
        </w:numPr>
        <w:spacing w:line="360" w:lineRule="auto"/>
      </w:pPr>
      <w:r w:rsidRPr="00393BE3">
        <w:rPr>
          <w:rFonts w:ascii="Open Sans SemiBold" w:eastAsia="Open Sans SemiBold" w:hAnsi="Open Sans SemiBold" w:cs="Open Sans SemiBold"/>
          <w:bCs/>
          <w:color w:val="003399"/>
        </w:rPr>
        <w:t>SCANNER</w:t>
      </w:r>
      <w:r w:rsidRPr="00393BE3">
        <w:t xml:space="preserve"> – designed to support the verification of any </w:t>
      </w:r>
      <w:r w:rsidR="00F47179" w:rsidRPr="00393BE3">
        <w:t>conflicts of interest</w:t>
      </w:r>
      <w:r w:rsidRPr="00393BE3">
        <w:t xml:space="preserve"> and handling irregularities (including financial irregularities) based on data from public registers. It investigates personal and capital links between respective entities </w:t>
      </w:r>
      <w:r w:rsidR="00395DA0" w:rsidRPr="00393BE3">
        <w:t xml:space="preserve">concerning the </w:t>
      </w:r>
      <w:r w:rsidRPr="00393BE3">
        <w:t xml:space="preserve">representation of an entity and </w:t>
      </w:r>
      <w:r w:rsidR="00395DA0" w:rsidRPr="00393BE3">
        <w:t xml:space="preserve">the </w:t>
      </w:r>
      <w:r w:rsidRPr="00393BE3">
        <w:t>current utilisation of EU funds (including procurement information published in the Competitiveness Base).</w:t>
      </w:r>
    </w:p>
    <w:p w14:paraId="53FD1D72" w14:textId="426E5458" w:rsidR="00BD2D4C" w:rsidRDefault="007F0AC9" w:rsidP="003C58C0">
      <w:pPr>
        <w:pStyle w:val="ListParagraph"/>
        <w:numPr>
          <w:ilvl w:val="0"/>
          <w:numId w:val="62"/>
        </w:numPr>
        <w:spacing w:line="360" w:lineRule="auto"/>
      </w:pPr>
      <w:r w:rsidRPr="00393BE3">
        <w:rPr>
          <w:rFonts w:ascii="Open Sans SemiBold" w:eastAsia="Open Sans SemiBold" w:hAnsi="Open Sans SemiBold" w:cs="Open Sans SemiBold"/>
          <w:bCs/>
          <w:color w:val="003399"/>
        </w:rPr>
        <w:t>SR2021</w:t>
      </w:r>
      <w:r w:rsidRPr="00393BE3">
        <w:t xml:space="preserve">– a statistics application based on data entered in CST2021 to track and monitor the Programme implementation. </w:t>
      </w:r>
    </w:p>
    <w:p w14:paraId="174AEA0B" w14:textId="0DB309CE" w:rsidR="00BD2D4C" w:rsidRPr="00393BE3" w:rsidRDefault="00BD2D4C" w:rsidP="003C58C0">
      <w:pPr>
        <w:pStyle w:val="Heading3"/>
        <w:spacing w:line="360" w:lineRule="auto"/>
      </w:pPr>
      <w:bookmarkStart w:id="136" w:name="_Toc147242439"/>
      <w:r w:rsidRPr="00393BE3">
        <w:t>2.</w:t>
      </w:r>
      <w:r>
        <w:t>3</w:t>
      </w:r>
      <w:r w:rsidRPr="00393BE3">
        <w:t xml:space="preserve"> CST2021</w:t>
      </w:r>
      <w:r>
        <w:t xml:space="preserve"> Architecture</w:t>
      </w:r>
      <w:bookmarkEnd w:id="136"/>
    </w:p>
    <w:p w14:paraId="66E54FA6" w14:textId="6D98A013" w:rsidR="00283CF2" w:rsidRDefault="00283CF2" w:rsidP="003C58C0">
      <w:pPr>
        <w:spacing w:line="360" w:lineRule="auto"/>
        <w:rPr>
          <w:rFonts w:eastAsia="Open Sans" w:cs="Open Sans"/>
          <w:sz w:val="20"/>
          <w:szCs w:val="20"/>
        </w:rPr>
      </w:pPr>
    </w:p>
    <w:p w14:paraId="1CA9EC63" w14:textId="1A3AA859" w:rsidR="00283CF2" w:rsidRDefault="00D23153" w:rsidP="003C58C0">
      <w:pPr>
        <w:spacing w:line="360" w:lineRule="auto"/>
      </w:pPr>
      <w:bookmarkStart w:id="137" w:name="_Hlk114145815"/>
      <w:r>
        <w:rPr>
          <w:noProof/>
        </w:rPr>
        <w:drawing>
          <wp:inline distT="0" distB="0" distL="0" distR="0" wp14:anchorId="57591BEC" wp14:editId="7B84BE02">
            <wp:extent cx="3790950" cy="2280932"/>
            <wp:effectExtent l="0" t="0" r="0" b="5080"/>
            <wp:docPr id="1354470827" name="Picture 1" descr="The figure in the text shows the construction of the CST2021 system. The WoD2021 system as first step servers for applying for funds. It is available from the common login interface named as SZT2021. From here also the SL2021 system is available that is the monitoring tool for projects, reporting and certification. The following systems are connected to SL2021: BK2021 (only for Polish partners), E-Controls, Cross-checks, SCANNER. The whole system is connected to the Administration/SR2021 Statistics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470827" name="Picture 1" descr="The figure in the text shows the construction of the CST2021 system. The WoD2021 system as first step servers for applying for funds. It is available from the common login interface named as SZT2021. From here also the SL2021 system is available that is the monitoring tool for projects, reporting and certification. The following systems are connected to SL2021: BK2021 (only for Polish partners), E-Controls, Cross-checks, SCANNER. The whole system is connected to the Administration/SR2021 Statistics tool."/>
                    <pic:cNvPicPr/>
                  </pic:nvPicPr>
                  <pic:blipFill>
                    <a:blip r:embed="rId35">
                      <a:extLst>
                        <a:ext uri="{28A0092B-C50C-407E-A947-70E740481C1C}">
                          <a14:useLocalDpi xmlns:a14="http://schemas.microsoft.com/office/drawing/2010/main" val="0"/>
                        </a:ext>
                      </a:extLst>
                    </a:blip>
                    <a:stretch>
                      <a:fillRect/>
                    </a:stretch>
                  </pic:blipFill>
                  <pic:spPr>
                    <a:xfrm>
                      <a:off x="0" y="0"/>
                      <a:ext cx="3790950" cy="2280932"/>
                    </a:xfrm>
                    <a:prstGeom prst="rect">
                      <a:avLst/>
                    </a:prstGeom>
                  </pic:spPr>
                </pic:pic>
              </a:graphicData>
            </a:graphic>
          </wp:inline>
        </w:drawing>
      </w:r>
    </w:p>
    <w:p w14:paraId="008DE109" w14:textId="77777777" w:rsidR="00D23153" w:rsidRPr="00103E0E" w:rsidRDefault="00D23153" w:rsidP="003C58C0">
      <w:pPr>
        <w:spacing w:line="360" w:lineRule="auto"/>
      </w:pPr>
    </w:p>
    <w:p w14:paraId="2AE7F354" w14:textId="229242BB" w:rsidR="00EC7E75" w:rsidRPr="00103E0E" w:rsidRDefault="00EC7E75" w:rsidP="003C58C0">
      <w:pPr>
        <w:pStyle w:val="Heading3"/>
        <w:spacing w:line="360" w:lineRule="auto"/>
      </w:pPr>
      <w:bookmarkStart w:id="138" w:name="_Toc147242440"/>
      <w:r w:rsidRPr="00103E0E">
        <w:t>2.4 CST2021 Data assessment</w:t>
      </w:r>
      <w:bookmarkEnd w:id="138"/>
    </w:p>
    <w:p w14:paraId="45807D6E" w14:textId="77777777" w:rsidR="007F0AC9" w:rsidRPr="00103E0E" w:rsidRDefault="007F0AC9" w:rsidP="003C58C0">
      <w:pPr>
        <w:spacing w:line="360" w:lineRule="auto"/>
      </w:pPr>
      <w:r w:rsidRPr="00103E0E">
        <w:t>Data stored in CST2021 can be accessed by:</w:t>
      </w:r>
    </w:p>
    <w:p w14:paraId="6D58ACD1" w14:textId="54FDB1AD" w:rsidR="007F0AC9" w:rsidRPr="00103E0E" w:rsidRDefault="007F0AC9" w:rsidP="003C58C0">
      <w:pPr>
        <w:pStyle w:val="ListParagraph"/>
        <w:numPr>
          <w:ilvl w:val="0"/>
          <w:numId w:val="63"/>
        </w:numPr>
        <w:spacing w:line="360" w:lineRule="auto"/>
      </w:pPr>
      <w:r w:rsidRPr="00103E0E">
        <w:lastRenderedPageBreak/>
        <w:t>Applicants (W</w:t>
      </w:r>
      <w:r w:rsidR="00F70AD5">
        <w:t>O</w:t>
      </w:r>
      <w:r w:rsidRPr="00103E0E">
        <w:t>D2021) as regards data on the Application Forms they prepared and submitted</w:t>
      </w:r>
      <w:r w:rsidR="00283CF2">
        <w:t>.</w:t>
      </w:r>
    </w:p>
    <w:p w14:paraId="23D50D72" w14:textId="77777777" w:rsidR="00103E0E" w:rsidRDefault="007F0AC9" w:rsidP="003C58C0">
      <w:pPr>
        <w:pStyle w:val="ListParagraph"/>
        <w:numPr>
          <w:ilvl w:val="0"/>
          <w:numId w:val="63"/>
        </w:numPr>
        <w:spacing w:line="360" w:lineRule="auto"/>
      </w:pPr>
      <w:r w:rsidRPr="00103E0E">
        <w:t>Project partners (SL2021), as regards data on their respective projects, as well as persons authorised by project partners to carry out proje</w:t>
      </w:r>
      <w:r w:rsidR="00395DA0" w:rsidRPr="00103E0E">
        <w:t>c</w:t>
      </w:r>
      <w:r w:rsidRPr="00103E0E">
        <w:t>t reporting on their behalf under applicable subsidy contracts;</w:t>
      </w:r>
    </w:p>
    <w:p w14:paraId="2F4F6F39" w14:textId="4E944D2D" w:rsidR="007F0AC9" w:rsidRPr="00103E0E" w:rsidRDefault="00103E0E" w:rsidP="003C58C0">
      <w:pPr>
        <w:pStyle w:val="ListParagraph"/>
        <w:numPr>
          <w:ilvl w:val="0"/>
          <w:numId w:val="64"/>
        </w:numPr>
        <w:spacing w:line="360" w:lineRule="auto"/>
      </w:pPr>
      <w:r>
        <w:t>project</w:t>
      </w:r>
      <w:r w:rsidR="007F0AC9" w:rsidRPr="00103E0E">
        <w:t xml:space="preserve"> partners from Poland in BK2021: contracting authorities and bidders</w:t>
      </w:r>
      <w:r w:rsidR="00D07B80" w:rsidRPr="00103E0E">
        <w:t>/</w:t>
      </w:r>
      <w:r w:rsidR="007F0AC9" w:rsidRPr="00103E0E">
        <w:t xml:space="preserve">contractors in </w:t>
      </w:r>
      <w:r w:rsidR="009D126A" w:rsidRPr="00103E0E">
        <w:t>tenders</w:t>
      </w:r>
      <w:r w:rsidR="007F0AC9" w:rsidRPr="00103E0E">
        <w:t>, as regards data on announcements they add and offers they create</w:t>
      </w:r>
      <w:r w:rsidR="00283CF2">
        <w:t>.</w:t>
      </w:r>
    </w:p>
    <w:p w14:paraId="156AACC2" w14:textId="3000203E" w:rsidR="007F0AC9" w:rsidRPr="00103E0E" w:rsidRDefault="007F0AC9" w:rsidP="003C58C0">
      <w:pPr>
        <w:pStyle w:val="ListParagraph"/>
        <w:numPr>
          <w:ilvl w:val="0"/>
          <w:numId w:val="63"/>
        </w:numPr>
        <w:spacing w:line="360" w:lineRule="auto"/>
      </w:pPr>
      <w:r w:rsidRPr="00103E0E">
        <w:t xml:space="preserve">Employees of authorities involved in implementing the programmes (i.e., the Managing Authority, Joint Secretariat, First Level Controllers, Audit Authority, external </w:t>
      </w:r>
      <w:bookmarkEnd w:id="137"/>
      <w:r w:rsidRPr="00103E0E">
        <w:t>assessors</w:t>
      </w:r>
      <w:r w:rsidR="002364F3" w:rsidRPr="00103E0E">
        <w:t>, and others</w:t>
      </w:r>
      <w:r w:rsidRPr="00103E0E">
        <w:t>) to the extent necessary for the performance of their tasks.</w:t>
      </w:r>
    </w:p>
    <w:p w14:paraId="62944D50" w14:textId="0A5C91CA" w:rsidR="00EC7E75" w:rsidRPr="0036122A" w:rsidRDefault="00EC7E75" w:rsidP="003C58C0">
      <w:pPr>
        <w:pStyle w:val="Heading3"/>
        <w:spacing w:line="360" w:lineRule="auto"/>
      </w:pPr>
      <w:bookmarkStart w:id="139" w:name="_Toc147242441"/>
      <w:r w:rsidRPr="0036122A">
        <w:t>2.5 CST2021 Work Guidelines</w:t>
      </w:r>
      <w:bookmarkEnd w:id="139"/>
    </w:p>
    <w:p w14:paraId="7A2FC4F1" w14:textId="6BC8ACA8" w:rsidR="00A9061E" w:rsidRPr="0036122A" w:rsidRDefault="00A9061E" w:rsidP="003C58C0">
      <w:pPr>
        <w:pStyle w:val="ListParagraph"/>
        <w:numPr>
          <w:ilvl w:val="0"/>
          <w:numId w:val="65"/>
        </w:numPr>
        <w:spacing w:line="360" w:lineRule="auto"/>
      </w:pPr>
      <w:r w:rsidRPr="0036122A">
        <w:t xml:space="preserve">It is obligatory to work in the system. All processes related to applying for co-financing in calls for proposals, project selection as well as </w:t>
      </w:r>
      <w:r w:rsidR="000123D4" w:rsidRPr="0036122A">
        <w:t xml:space="preserve">the </w:t>
      </w:r>
      <w:r w:rsidRPr="0036122A">
        <w:t xml:space="preserve">monitoring and reporting of implementation are done entirely in CST2021. </w:t>
      </w:r>
    </w:p>
    <w:p w14:paraId="15A3555A" w14:textId="202C1166" w:rsidR="00A9061E" w:rsidRPr="0036122A" w:rsidRDefault="00A9061E" w:rsidP="003C58C0">
      <w:pPr>
        <w:pStyle w:val="ListParagraph"/>
        <w:numPr>
          <w:ilvl w:val="0"/>
          <w:numId w:val="65"/>
        </w:numPr>
        <w:spacing w:line="360" w:lineRule="auto"/>
      </w:pPr>
      <w:r w:rsidRPr="0036122A">
        <w:t xml:space="preserve">The </w:t>
      </w:r>
      <w:r w:rsidRPr="0036122A">
        <w:rPr>
          <w:rFonts w:ascii="Open Sans SemiBold" w:eastAsia="Open Sans SemiBold" w:hAnsi="Open Sans SemiBold" w:cs="Open Sans SemiBold"/>
          <w:bCs/>
          <w:color w:val="003399"/>
        </w:rPr>
        <w:t>CST2021 guidelines</w:t>
      </w:r>
      <w:r w:rsidRPr="0036122A">
        <w:t xml:space="preserve">, including all technical, </w:t>
      </w:r>
      <w:r w:rsidR="00065BA8" w:rsidRPr="0036122A">
        <w:t>formal,</w:t>
      </w:r>
      <w:r w:rsidRPr="0036122A">
        <w:t xml:space="preserve"> and content-related requirements, are laid out in applicable user manuals available on the </w:t>
      </w:r>
      <w:hyperlink r:id="rId36" w:history="1">
        <w:r w:rsidR="00513D86" w:rsidRPr="00DC4ED8">
          <w:rPr>
            <w:rFonts w:ascii="Open Sans ExtraBold"/>
            <w:b/>
            <w:color w:val="003399"/>
            <w:spacing w:val="-2"/>
          </w:rPr>
          <w:t>Programme website.</w:t>
        </w:r>
      </w:hyperlink>
    </w:p>
    <w:p w14:paraId="58CABD61" w14:textId="33EA0F7F" w:rsidR="004136D9" w:rsidRPr="004F78BE" w:rsidRDefault="00A9061E" w:rsidP="003C58C0">
      <w:pPr>
        <w:pStyle w:val="ListParagraph"/>
        <w:numPr>
          <w:ilvl w:val="0"/>
          <w:numId w:val="65"/>
        </w:numPr>
        <w:spacing w:line="360" w:lineRule="auto"/>
      </w:pPr>
      <w:r w:rsidRPr="0036122A">
        <w:t>Furthermore, after signing the respective subsidy contracts, project partners shall be subject to applicable provisions of the contract regarding the CST2021 work rules, in particular designating persons to represent project partners, communication rules as well as CST2021 error and failure reporting.</w:t>
      </w:r>
    </w:p>
    <w:p w14:paraId="0E2AF611" w14:textId="59BDC6B2" w:rsidR="000A7C01" w:rsidRPr="00513D86" w:rsidRDefault="00C03831" w:rsidP="003C58C0">
      <w:pPr>
        <w:pStyle w:val="Heading2"/>
        <w:spacing w:line="360" w:lineRule="auto"/>
      </w:pPr>
      <w:bookmarkStart w:id="140" w:name="_Toc147242442"/>
      <w:r w:rsidRPr="00513D86">
        <w:t>3</w:t>
      </w:r>
      <w:r w:rsidR="000A7C01" w:rsidRPr="00513D86">
        <w:t xml:space="preserve"> CALLS FOR PROPOSALS</w:t>
      </w:r>
      <w:bookmarkEnd w:id="140"/>
    </w:p>
    <w:p w14:paraId="74B77104" w14:textId="66F3A34B" w:rsidR="000A7C01" w:rsidRPr="00513D86" w:rsidRDefault="000A7C01" w:rsidP="003C58C0">
      <w:pPr>
        <w:spacing w:line="360" w:lineRule="auto"/>
      </w:pPr>
      <w:r w:rsidRPr="00513D86">
        <w:lastRenderedPageBreak/>
        <w:t xml:space="preserve">Project proposals presented in Application Forms are collected through </w:t>
      </w:r>
      <w:r w:rsidR="000123D4" w:rsidRPr="00513D86">
        <w:t xml:space="preserve">a </w:t>
      </w:r>
      <w:r w:rsidRPr="00513D86">
        <w:t xml:space="preserve">series of Calls for Proposals. Each separate </w:t>
      </w:r>
      <w:r w:rsidR="0000618F" w:rsidRPr="00513D86">
        <w:t>c</w:t>
      </w:r>
      <w:r w:rsidRPr="00513D86">
        <w:t xml:space="preserve">all for </w:t>
      </w:r>
      <w:r w:rsidR="0000618F" w:rsidRPr="00513D86">
        <w:t>p</w:t>
      </w:r>
      <w:r w:rsidRPr="00513D86">
        <w:t xml:space="preserve">roposals has a defined timeframe (start and end date and time). </w:t>
      </w:r>
      <w:bookmarkStart w:id="141" w:name="_Toc209927773"/>
      <w:bookmarkStart w:id="142" w:name="_Toc209940310"/>
      <w:bookmarkEnd w:id="141"/>
      <w:bookmarkEnd w:id="142"/>
    </w:p>
    <w:p w14:paraId="3C77AE4C" w14:textId="3F03C04A" w:rsidR="000A7C01" w:rsidRPr="00513D86" w:rsidRDefault="000A7C01" w:rsidP="003C58C0">
      <w:pPr>
        <w:spacing w:line="360" w:lineRule="auto"/>
      </w:pPr>
      <w:r w:rsidRPr="00513D86">
        <w:t xml:space="preserve">When a </w:t>
      </w:r>
      <w:r w:rsidR="0000618F" w:rsidRPr="00513D86">
        <w:t>c</w:t>
      </w:r>
      <w:r w:rsidRPr="00513D86">
        <w:t xml:space="preserve">all for </w:t>
      </w:r>
      <w:r w:rsidR="0000618F" w:rsidRPr="00513D86">
        <w:t>proposals</w:t>
      </w:r>
      <w:r w:rsidRPr="00513D86">
        <w:t xml:space="preserve"> is launched, an announcement with detailed information (including the application package) is published on the </w:t>
      </w:r>
      <w:hyperlink r:id="rId37" w:history="1">
        <w:r w:rsidR="00513D86" w:rsidRPr="00DC4ED8">
          <w:rPr>
            <w:rFonts w:ascii="Open Sans ExtraBold"/>
            <w:b/>
            <w:color w:val="003399"/>
            <w:spacing w:val="-2"/>
          </w:rPr>
          <w:t>Programme website</w:t>
        </w:r>
      </w:hyperlink>
      <w:r w:rsidRPr="00513D86">
        <w:t xml:space="preserve"> and in other media sources in all Programme Member States (e.g., regional websites). </w:t>
      </w:r>
    </w:p>
    <w:p w14:paraId="56667F96" w14:textId="1458F5C9" w:rsidR="000A7C01" w:rsidRPr="00513D86" w:rsidRDefault="000A7C01" w:rsidP="003C58C0">
      <w:pPr>
        <w:spacing w:line="360" w:lineRule="auto"/>
      </w:pPr>
      <w:r w:rsidRPr="00513D86">
        <w:t xml:space="preserve">Promotion activities linked to the launch of </w:t>
      </w:r>
      <w:r w:rsidR="0000618F" w:rsidRPr="00513D86">
        <w:t>c</w:t>
      </w:r>
      <w:r w:rsidRPr="00513D86">
        <w:t xml:space="preserve">alls for </w:t>
      </w:r>
      <w:r w:rsidR="0000618F" w:rsidRPr="00513D86">
        <w:t>p</w:t>
      </w:r>
      <w:r w:rsidRPr="00513D86">
        <w:t xml:space="preserve">roposals are carried out by the JS in co-operation with Contact Points. </w:t>
      </w:r>
    </w:p>
    <w:p w14:paraId="35397F80" w14:textId="78689D79" w:rsidR="000A7C01" w:rsidRPr="00513D86" w:rsidRDefault="000A7C01" w:rsidP="003C58C0">
      <w:pPr>
        <w:spacing w:line="360" w:lineRule="auto"/>
      </w:pPr>
      <w:r w:rsidRPr="00513D86">
        <w:t xml:space="preserve">The announcement of any </w:t>
      </w:r>
      <w:r w:rsidR="0000618F" w:rsidRPr="00513D86">
        <w:t>c</w:t>
      </w:r>
      <w:r w:rsidRPr="00513D86">
        <w:t xml:space="preserve">all for </w:t>
      </w:r>
      <w:r w:rsidR="0000618F" w:rsidRPr="00513D86">
        <w:t>p</w:t>
      </w:r>
      <w:r w:rsidRPr="00513D86">
        <w:t>roposals will include, among other things, the following information, and documents:</w:t>
      </w:r>
    </w:p>
    <w:p w14:paraId="2E83EE15" w14:textId="2A6195AF" w:rsidR="00961188" w:rsidRPr="00513D86" w:rsidRDefault="00961188" w:rsidP="003C58C0">
      <w:pPr>
        <w:pStyle w:val="ListParagraph"/>
        <w:numPr>
          <w:ilvl w:val="0"/>
          <w:numId w:val="22"/>
        </w:numPr>
        <w:spacing w:line="360" w:lineRule="auto"/>
      </w:pPr>
      <w:r w:rsidRPr="00513D86">
        <w:t>Applicable Programme Measures</w:t>
      </w:r>
    </w:p>
    <w:p w14:paraId="165154A7" w14:textId="3FF0CD00" w:rsidR="00961188" w:rsidRPr="00513D86" w:rsidRDefault="00961188" w:rsidP="003C58C0">
      <w:pPr>
        <w:pStyle w:val="ListParagraph"/>
        <w:numPr>
          <w:ilvl w:val="0"/>
          <w:numId w:val="22"/>
        </w:numPr>
        <w:spacing w:line="360" w:lineRule="auto"/>
      </w:pPr>
      <w:r w:rsidRPr="00513D86">
        <w:t>Partnership requirements</w:t>
      </w:r>
    </w:p>
    <w:p w14:paraId="492946E9" w14:textId="471B80E5" w:rsidR="00961188" w:rsidRPr="00513D86" w:rsidRDefault="00961188" w:rsidP="003C58C0">
      <w:pPr>
        <w:pStyle w:val="ListParagraph"/>
        <w:numPr>
          <w:ilvl w:val="0"/>
          <w:numId w:val="22"/>
        </w:numPr>
        <w:spacing w:line="360" w:lineRule="auto"/>
      </w:pPr>
      <w:r w:rsidRPr="00513D86">
        <w:t>Set timeframe (start and end date and time)</w:t>
      </w:r>
    </w:p>
    <w:p w14:paraId="4F9233FB" w14:textId="052CB6B9" w:rsidR="00961188" w:rsidRPr="00513D86" w:rsidRDefault="00961188" w:rsidP="003C58C0">
      <w:pPr>
        <w:pStyle w:val="ListParagraph"/>
        <w:numPr>
          <w:ilvl w:val="0"/>
          <w:numId w:val="22"/>
        </w:numPr>
        <w:spacing w:line="360" w:lineRule="auto"/>
      </w:pPr>
      <w:r w:rsidRPr="00513D86">
        <w:t>Timescale of the selection procedure (announcement of the results)</w:t>
      </w:r>
    </w:p>
    <w:p w14:paraId="36E10E22" w14:textId="1F6A8F68" w:rsidR="00961188" w:rsidRPr="00513D86" w:rsidRDefault="00961188" w:rsidP="003C58C0">
      <w:pPr>
        <w:pStyle w:val="ListParagraph"/>
        <w:numPr>
          <w:ilvl w:val="0"/>
          <w:numId w:val="22"/>
        </w:numPr>
        <w:spacing w:line="360" w:lineRule="auto"/>
      </w:pPr>
      <w:r w:rsidRPr="00513D86">
        <w:t xml:space="preserve">The Programme funding allocated to each respective </w:t>
      </w:r>
      <w:r w:rsidR="0000618F" w:rsidRPr="00513D86">
        <w:t>c</w:t>
      </w:r>
      <w:r w:rsidRPr="00513D86">
        <w:t xml:space="preserve">all for </w:t>
      </w:r>
      <w:r w:rsidR="0000618F" w:rsidRPr="00513D86">
        <w:t>p</w:t>
      </w:r>
      <w:r w:rsidRPr="00513D86">
        <w:t>roposals</w:t>
      </w:r>
    </w:p>
    <w:p w14:paraId="0FC87DBA" w14:textId="7A9A9711" w:rsidR="004136D9" w:rsidRPr="004F78BE" w:rsidRDefault="00961188" w:rsidP="003C58C0">
      <w:pPr>
        <w:pStyle w:val="ListParagraph"/>
        <w:numPr>
          <w:ilvl w:val="0"/>
          <w:numId w:val="22"/>
        </w:numPr>
        <w:spacing w:line="360" w:lineRule="auto"/>
      </w:pPr>
      <w:r w:rsidRPr="00513D86">
        <w:t xml:space="preserve">Short guidelines on </w:t>
      </w:r>
      <w:r w:rsidR="000123D4" w:rsidRPr="00513D86">
        <w:t xml:space="preserve">the </w:t>
      </w:r>
      <w:r w:rsidRPr="00513D86">
        <w:t>preparation, eligibility, assessment, selection, and implementation procedures</w:t>
      </w:r>
      <w:r w:rsidR="004136D9">
        <w:t>.</w:t>
      </w:r>
    </w:p>
    <w:p w14:paraId="2373EEDF" w14:textId="261D5608" w:rsidR="00AA3E93" w:rsidRPr="00AA3E93" w:rsidRDefault="00C03831" w:rsidP="003C58C0">
      <w:pPr>
        <w:pStyle w:val="Heading2"/>
        <w:spacing w:line="360" w:lineRule="auto"/>
        <w:rPr>
          <w:rFonts w:ascii="Segoe UI" w:hAnsi="Segoe UI" w:cs="Segoe UI"/>
          <w:bCs/>
          <w:color w:val="1C4E6D"/>
          <w:lang w:val="en-GB"/>
        </w:rPr>
      </w:pPr>
      <w:bookmarkStart w:id="143" w:name="_Toc147242443"/>
      <w:r w:rsidRPr="00513D86">
        <w:t>4</w:t>
      </w:r>
      <w:r w:rsidR="000A7C01" w:rsidRPr="00513D86">
        <w:t xml:space="preserve"> APPLICATION PACKAGE AND SUBMISSION OF APPLICATIONS</w:t>
      </w:r>
      <w:bookmarkEnd w:id="143"/>
    </w:p>
    <w:p w14:paraId="5291D782" w14:textId="40FA7C71" w:rsidR="000A7C01" w:rsidRPr="00513D86" w:rsidRDefault="00C03831" w:rsidP="003C58C0">
      <w:pPr>
        <w:pStyle w:val="Heading3"/>
        <w:spacing w:line="360" w:lineRule="auto"/>
      </w:pPr>
      <w:bookmarkStart w:id="144" w:name="_Toc147242444"/>
      <w:r w:rsidRPr="00513D86">
        <w:t>4</w:t>
      </w:r>
      <w:r w:rsidR="000A7C01" w:rsidRPr="00513D86">
        <w:t>.1 General Information</w:t>
      </w:r>
      <w:bookmarkEnd w:id="144"/>
    </w:p>
    <w:p w14:paraId="47DE8BAB" w14:textId="21D286C5" w:rsidR="000A7C01" w:rsidRPr="00513D86" w:rsidRDefault="000A7C01" w:rsidP="003C58C0">
      <w:pPr>
        <w:spacing w:line="360" w:lineRule="auto"/>
      </w:pPr>
      <w:r w:rsidRPr="00513D86">
        <w:t xml:space="preserve">Information on each </w:t>
      </w:r>
      <w:r w:rsidR="000123D4" w:rsidRPr="00513D86">
        <w:t xml:space="preserve">of the Programme’s </w:t>
      </w:r>
      <w:r w:rsidRPr="00513D86">
        <w:t>Call</w:t>
      </w:r>
      <w:r w:rsidR="000123D4" w:rsidRPr="00513D86">
        <w:t>s</w:t>
      </w:r>
      <w:r w:rsidRPr="00513D86">
        <w:t xml:space="preserve"> for Proposals is published in a separate section dedicated to the Application Form submission on the </w:t>
      </w:r>
      <w:hyperlink r:id="rId38" w:history="1">
        <w:r w:rsidR="00D034FA" w:rsidRPr="00DC4ED8">
          <w:rPr>
            <w:rFonts w:ascii="Open Sans ExtraBold"/>
            <w:b/>
            <w:color w:val="003399"/>
            <w:spacing w:val="-2"/>
          </w:rPr>
          <w:t>Programme website.</w:t>
        </w:r>
      </w:hyperlink>
    </w:p>
    <w:p w14:paraId="3FA0FC7B" w14:textId="77777777" w:rsidR="000A7C01" w:rsidRPr="00513D86" w:rsidRDefault="000A7C01" w:rsidP="003C58C0">
      <w:pPr>
        <w:spacing w:line="360" w:lineRule="auto"/>
      </w:pPr>
      <w:r w:rsidRPr="00513D86">
        <w:t>Programme documents will not be altered during the call for proposals and project assessment.</w:t>
      </w:r>
    </w:p>
    <w:p w14:paraId="1E02E0F7" w14:textId="2C524F4F" w:rsidR="000A7C01" w:rsidRPr="00513D86" w:rsidRDefault="000A7C01" w:rsidP="003C58C0">
      <w:pPr>
        <w:spacing w:line="360" w:lineRule="auto"/>
      </w:pPr>
      <w:r w:rsidRPr="00513D86">
        <w:lastRenderedPageBreak/>
        <w:t>The Application Pack include</w:t>
      </w:r>
      <w:r w:rsidR="00C977A8" w:rsidRPr="00513D86">
        <w:t>s</w:t>
      </w:r>
      <w:r w:rsidRPr="00513D86">
        <w:t>:</w:t>
      </w:r>
    </w:p>
    <w:p w14:paraId="6F7D14E2" w14:textId="5F2A8639" w:rsidR="000A7C01" w:rsidRPr="00513D86" w:rsidRDefault="00513D86" w:rsidP="003C58C0">
      <w:pPr>
        <w:pStyle w:val="ListParagraph"/>
        <w:numPr>
          <w:ilvl w:val="0"/>
          <w:numId w:val="22"/>
        </w:numPr>
        <w:spacing w:line="360" w:lineRule="auto"/>
      </w:pPr>
      <w:r>
        <w:t>C</w:t>
      </w:r>
      <w:r w:rsidR="000A7C01" w:rsidRPr="00513D86">
        <w:t xml:space="preserve">all for </w:t>
      </w:r>
      <w:r w:rsidR="0000618F" w:rsidRPr="00513D86">
        <w:t>p</w:t>
      </w:r>
      <w:r w:rsidR="000A7C01" w:rsidRPr="00513D86">
        <w:t>roposals announcement;</w:t>
      </w:r>
    </w:p>
    <w:p w14:paraId="2C9701F0" w14:textId="77777777" w:rsidR="000A7C01" w:rsidRPr="00513D86" w:rsidRDefault="000A7C01" w:rsidP="003C58C0">
      <w:pPr>
        <w:pStyle w:val="ListParagraph"/>
        <w:numPr>
          <w:ilvl w:val="0"/>
          <w:numId w:val="22"/>
        </w:numPr>
        <w:spacing w:line="360" w:lineRule="auto"/>
      </w:pPr>
      <w:r w:rsidRPr="00513D86">
        <w:t>Programme Manual;</w:t>
      </w:r>
    </w:p>
    <w:p w14:paraId="383213F4" w14:textId="460D3893" w:rsidR="000A7C01" w:rsidRPr="00513D86" w:rsidRDefault="000A7C01" w:rsidP="003C58C0">
      <w:pPr>
        <w:pStyle w:val="ListParagraph"/>
        <w:numPr>
          <w:ilvl w:val="0"/>
          <w:numId w:val="22"/>
        </w:numPr>
        <w:spacing w:line="360" w:lineRule="auto"/>
      </w:pPr>
      <w:bookmarkStart w:id="145" w:name="_Hlk100303862"/>
      <w:r w:rsidRPr="00513D86">
        <w:t xml:space="preserve">Guidelines </w:t>
      </w:r>
      <w:r w:rsidR="00DE3607" w:rsidRPr="00513D86">
        <w:t xml:space="preserve">on </w:t>
      </w:r>
      <w:r w:rsidRPr="00513D86">
        <w:t>filling in</w:t>
      </w:r>
      <w:r w:rsidR="00DE3607" w:rsidRPr="00513D86">
        <w:t xml:space="preserve"> and submitting</w:t>
      </w:r>
      <w:r w:rsidRPr="00513D86">
        <w:t xml:space="preserve"> the Application Form</w:t>
      </w:r>
      <w:r w:rsidR="00DE3607" w:rsidRPr="00513D86">
        <w:t>;</w:t>
      </w:r>
      <w:r w:rsidRPr="00513D86">
        <w:t xml:space="preserve"> </w:t>
      </w:r>
    </w:p>
    <w:bookmarkEnd w:id="145"/>
    <w:p w14:paraId="74344138" w14:textId="77777777" w:rsidR="000A7C01" w:rsidRPr="00513D86" w:rsidRDefault="000A7C01" w:rsidP="003C58C0">
      <w:pPr>
        <w:pStyle w:val="ListParagraph"/>
        <w:numPr>
          <w:ilvl w:val="0"/>
          <w:numId w:val="22"/>
        </w:numPr>
        <w:spacing w:line="360" w:lineRule="auto"/>
      </w:pPr>
      <w:r w:rsidRPr="00513D86">
        <w:t>The list of supporting documents to be attached to the Application Form;</w:t>
      </w:r>
    </w:p>
    <w:p w14:paraId="13B6E96C" w14:textId="77777777" w:rsidR="000A7C01" w:rsidRPr="00513D86" w:rsidRDefault="000A7C01" w:rsidP="003C58C0">
      <w:pPr>
        <w:pStyle w:val="ListParagraph"/>
        <w:numPr>
          <w:ilvl w:val="0"/>
          <w:numId w:val="22"/>
        </w:numPr>
        <w:spacing w:line="360" w:lineRule="auto"/>
      </w:pPr>
      <w:r w:rsidRPr="00513D86">
        <w:t>Complaint form template.</w:t>
      </w:r>
    </w:p>
    <w:p w14:paraId="703ADDB9" w14:textId="77777777" w:rsidR="00D23153" w:rsidRPr="00D23153" w:rsidRDefault="00D23153" w:rsidP="003C58C0">
      <w:pPr>
        <w:pStyle w:val="BodyText"/>
        <w:spacing w:line="360" w:lineRule="auto"/>
        <w:jc w:val="both"/>
        <w:rPr>
          <w:rFonts w:ascii="Open Sans" w:eastAsia="Open Sans" w:hAnsi="Open Sans" w:cs="Open Sans"/>
          <w:color w:val="auto"/>
          <w:sz w:val="24"/>
          <w:lang w:eastAsia="en-US"/>
        </w:rPr>
      </w:pPr>
      <w:r w:rsidRPr="00D23153">
        <w:rPr>
          <w:rFonts w:ascii="Open Sans" w:eastAsia="Open Sans" w:hAnsi="Open Sans" w:cs="Open Sans"/>
          <w:color w:val="auto"/>
          <w:sz w:val="24"/>
          <w:lang w:eastAsia="en-US"/>
        </w:rPr>
        <w:t xml:space="preserve">Applicants should make themselves familiar with the template of the </w:t>
      </w:r>
      <w:r w:rsidRPr="00D23153">
        <w:rPr>
          <w:rFonts w:ascii="Open Sans SemiBold" w:eastAsia="Open Sans SemiBold" w:hAnsi="Open Sans SemiBold" w:cs="Open Sans SemiBold"/>
          <w:bCs/>
          <w:color w:val="003399"/>
          <w:sz w:val="24"/>
          <w:lang w:eastAsia="en-US"/>
        </w:rPr>
        <w:t>Subsidy Contract</w:t>
      </w:r>
      <w:r w:rsidRPr="00D23153">
        <w:rPr>
          <w:rFonts w:ascii="Open Sans" w:eastAsia="Open Sans" w:hAnsi="Open Sans" w:cs="Open Sans"/>
          <w:color w:val="auto"/>
          <w:sz w:val="24"/>
          <w:lang w:eastAsia="en-US"/>
        </w:rPr>
        <w:t xml:space="preserve"> as well as with the template (minimum requirements) of the </w:t>
      </w:r>
      <w:r w:rsidRPr="00D23153">
        <w:rPr>
          <w:rFonts w:ascii="Open Sans SemiBold" w:eastAsia="Open Sans SemiBold" w:hAnsi="Open Sans SemiBold" w:cs="Open Sans SemiBold"/>
          <w:bCs/>
          <w:color w:val="003399"/>
          <w:sz w:val="24"/>
          <w:lang w:eastAsia="en-US"/>
        </w:rPr>
        <w:t>Partnership Agreement</w:t>
      </w:r>
      <w:r w:rsidRPr="00D23153">
        <w:rPr>
          <w:rFonts w:ascii="Open Sans" w:eastAsia="Open Sans" w:hAnsi="Open Sans" w:cs="Open Sans"/>
          <w:color w:val="auto"/>
          <w:sz w:val="24"/>
          <w:lang w:eastAsia="en-US"/>
        </w:rPr>
        <w:t xml:space="preserve"> before submitting the application.</w:t>
      </w:r>
    </w:p>
    <w:p w14:paraId="46F95586" w14:textId="58FEA872" w:rsidR="000A7C01" w:rsidRPr="000F12CF" w:rsidRDefault="00C03831" w:rsidP="003C58C0">
      <w:pPr>
        <w:pStyle w:val="Heading3"/>
        <w:spacing w:line="360" w:lineRule="auto"/>
      </w:pPr>
      <w:bookmarkStart w:id="146" w:name="_Toc147242445"/>
      <w:r w:rsidRPr="000F12CF">
        <w:t>4</w:t>
      </w:r>
      <w:r w:rsidR="000A7C01" w:rsidRPr="000F12CF">
        <w:t>.2 Submission of the Application</w:t>
      </w:r>
      <w:bookmarkEnd w:id="146"/>
    </w:p>
    <w:p w14:paraId="1ED95162" w14:textId="6267D8A7" w:rsidR="000A7C01" w:rsidRPr="000F12CF" w:rsidRDefault="000A7C01" w:rsidP="003C58C0">
      <w:pPr>
        <w:spacing w:line="360" w:lineRule="auto"/>
      </w:pPr>
      <w:r w:rsidRPr="000F12CF">
        <w:t>Each Application Form is submitted via the W</w:t>
      </w:r>
      <w:r w:rsidR="00703799" w:rsidRPr="000F12CF">
        <w:t>O</w:t>
      </w:r>
      <w:r w:rsidRPr="000F12CF">
        <w:t>D2021 Application system.</w:t>
      </w:r>
    </w:p>
    <w:p w14:paraId="1213E31D" w14:textId="6FB02A72" w:rsidR="000A7C01" w:rsidRPr="000F12CF" w:rsidRDefault="000A7C01" w:rsidP="003C58C0">
      <w:pPr>
        <w:spacing w:line="360" w:lineRule="auto"/>
        <w:rPr>
          <w:rFonts w:eastAsia="Open Sans" w:cs="Open Sans"/>
        </w:rPr>
      </w:pPr>
      <w:r w:rsidRPr="000F12CF">
        <w:rPr>
          <w:rFonts w:eastAsia="Open Sans" w:cs="Open Sans"/>
        </w:rPr>
        <w:t xml:space="preserve">The application procedure is described in detail in the </w:t>
      </w:r>
      <w:r w:rsidRPr="000F12CF">
        <w:t xml:space="preserve">Guidelines </w:t>
      </w:r>
      <w:r w:rsidR="00DE3607" w:rsidRPr="000F12CF">
        <w:t xml:space="preserve">on filling </w:t>
      </w:r>
      <w:r w:rsidR="009E3953" w:rsidRPr="000F12CF">
        <w:t>in and</w:t>
      </w:r>
      <w:r w:rsidR="00DE3607" w:rsidRPr="000F12CF">
        <w:t xml:space="preserve"> submitting </w:t>
      </w:r>
      <w:r w:rsidRPr="000F12CF">
        <w:t>the Application Form</w:t>
      </w:r>
      <w:r w:rsidR="00370E4F" w:rsidRPr="000F12CF">
        <w:t>.</w:t>
      </w:r>
    </w:p>
    <w:p w14:paraId="1FFC8017" w14:textId="50915E87" w:rsidR="000A7C01" w:rsidRPr="000F12CF" w:rsidRDefault="000A7C01" w:rsidP="003C58C0">
      <w:pPr>
        <w:spacing w:line="360" w:lineRule="auto"/>
      </w:pPr>
      <w:r w:rsidRPr="000F12CF">
        <w:t>The features of the W</w:t>
      </w:r>
      <w:r w:rsidR="00703799" w:rsidRPr="000F12CF">
        <w:t>O</w:t>
      </w:r>
      <w:r w:rsidRPr="000F12CF">
        <w:t>D2021 Application system:</w:t>
      </w:r>
    </w:p>
    <w:p w14:paraId="2957BDDB" w14:textId="224F55FD" w:rsidR="00961188" w:rsidRPr="000F12CF" w:rsidRDefault="00961188" w:rsidP="003C58C0">
      <w:pPr>
        <w:pStyle w:val="ListParagraph"/>
        <w:numPr>
          <w:ilvl w:val="0"/>
          <w:numId w:val="22"/>
        </w:numPr>
        <w:spacing w:line="360" w:lineRule="auto"/>
      </w:pPr>
      <w:bookmarkStart w:id="147" w:name="_Hlk100303779"/>
      <w:r w:rsidRPr="000F12CF">
        <w:t>A simple procedure for registration</w:t>
      </w:r>
    </w:p>
    <w:p w14:paraId="261B48DC" w14:textId="58A28D38" w:rsidR="00961188" w:rsidRPr="000F12CF" w:rsidRDefault="00961188" w:rsidP="003C58C0">
      <w:pPr>
        <w:pStyle w:val="ListParagraph"/>
        <w:numPr>
          <w:ilvl w:val="0"/>
          <w:numId w:val="22"/>
        </w:numPr>
        <w:spacing w:line="360" w:lineRule="auto"/>
      </w:pPr>
      <w:r w:rsidRPr="000F12CF">
        <w:t xml:space="preserve">Access to the Application Form can be assigned to project partners by the </w:t>
      </w:r>
      <w:r w:rsidR="00D45EFF" w:rsidRPr="000F12CF">
        <w:t>l</w:t>
      </w:r>
      <w:r w:rsidRPr="000F12CF">
        <w:t xml:space="preserve">ead </w:t>
      </w:r>
      <w:r w:rsidR="00D45EFF" w:rsidRPr="000F12CF">
        <w:t>a</w:t>
      </w:r>
      <w:r w:rsidRPr="000F12CF">
        <w:t>pplicant</w:t>
      </w:r>
    </w:p>
    <w:p w14:paraId="0E576BCD" w14:textId="2314AD25" w:rsidR="00961188" w:rsidRPr="000F12CF" w:rsidRDefault="00961188" w:rsidP="003C58C0">
      <w:pPr>
        <w:pStyle w:val="ListParagraph"/>
        <w:numPr>
          <w:ilvl w:val="0"/>
          <w:numId w:val="22"/>
        </w:numPr>
        <w:spacing w:line="360" w:lineRule="auto"/>
      </w:pPr>
      <w:r w:rsidRPr="000F12CF">
        <w:t xml:space="preserve">Results of the </w:t>
      </w:r>
      <w:r w:rsidR="0000618F" w:rsidRPr="000F12CF">
        <w:t>c</w:t>
      </w:r>
      <w:r w:rsidRPr="000F12CF">
        <w:t xml:space="preserve">all for </w:t>
      </w:r>
      <w:r w:rsidR="0000618F" w:rsidRPr="000F12CF">
        <w:t>p</w:t>
      </w:r>
      <w:r w:rsidRPr="000F12CF">
        <w:t>roposals are available in the system.</w:t>
      </w:r>
    </w:p>
    <w:p w14:paraId="4CE4F3B7" w14:textId="25CC35A7" w:rsidR="00A4257A" w:rsidRPr="000F12CF" w:rsidRDefault="000A7C01" w:rsidP="003C58C0">
      <w:pPr>
        <w:spacing w:line="360" w:lineRule="auto"/>
      </w:pPr>
      <w:r w:rsidRPr="000F12CF">
        <w:t>The Application Form should be filled in and submitted via the W</w:t>
      </w:r>
      <w:r w:rsidR="00703799" w:rsidRPr="000F12CF">
        <w:t>O</w:t>
      </w:r>
      <w:r w:rsidRPr="000F12CF">
        <w:t xml:space="preserve">D2021 Application system and </w:t>
      </w:r>
      <w:r w:rsidR="000123D4" w:rsidRPr="000F12CF">
        <w:t xml:space="preserve">be </w:t>
      </w:r>
      <w:r w:rsidRPr="000F12CF">
        <w:t xml:space="preserve">accompanied </w:t>
      </w:r>
      <w:r w:rsidR="000123D4" w:rsidRPr="000F12CF">
        <w:t xml:space="preserve">by </w:t>
      </w:r>
      <w:r w:rsidRPr="000F12CF">
        <w:t xml:space="preserve">the supporting documents within the timeframe of the respective </w:t>
      </w:r>
      <w:r w:rsidR="0000618F" w:rsidRPr="000F12CF">
        <w:t>c</w:t>
      </w:r>
      <w:r w:rsidRPr="000F12CF">
        <w:t xml:space="preserve">all for </w:t>
      </w:r>
      <w:r w:rsidR="0000618F" w:rsidRPr="000F12CF">
        <w:t>p</w:t>
      </w:r>
      <w:r w:rsidRPr="000F12CF">
        <w:t xml:space="preserve">roposals (see Table </w:t>
      </w:r>
      <w:r w:rsidR="00AD60E0" w:rsidRPr="000F12CF">
        <w:t>2</w:t>
      </w:r>
      <w:r w:rsidRPr="000F12CF">
        <w:t xml:space="preserve"> Supporting documents for the open </w:t>
      </w:r>
      <w:r w:rsidR="0000618F" w:rsidRPr="000F12CF">
        <w:t>c</w:t>
      </w:r>
      <w:r w:rsidRPr="000F12CF">
        <w:t xml:space="preserve">all for </w:t>
      </w:r>
      <w:r w:rsidR="0000618F" w:rsidRPr="000F12CF">
        <w:t>p</w:t>
      </w:r>
      <w:r w:rsidRPr="000F12CF">
        <w:t>roposals).</w:t>
      </w:r>
    </w:p>
    <w:p w14:paraId="07409398" w14:textId="0E0DA0B7" w:rsidR="00A249BA" w:rsidRPr="00A249BA" w:rsidRDefault="00D23153" w:rsidP="003C58C0">
      <w:pPr>
        <w:spacing w:line="360" w:lineRule="auto"/>
        <w:rPr>
          <w:lang w:val="en-GB"/>
        </w:rPr>
      </w:pPr>
      <w:r>
        <w:rPr>
          <w:noProof/>
        </w:rPr>
        <w:lastRenderedPageBreak/>
        <mc:AlternateContent>
          <mc:Choice Requires="wps">
            <w:drawing>
              <wp:inline distT="0" distB="0" distL="0" distR="0" wp14:anchorId="3BDB4D85" wp14:editId="2AD41E45">
                <wp:extent cx="5772150" cy="1895475"/>
                <wp:effectExtent l="0" t="0" r="19050" b="28575"/>
                <wp:docPr id="260196351"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895475"/>
                        </a:xfrm>
                        <a:prstGeom prst="rect">
                          <a:avLst/>
                        </a:prstGeom>
                        <a:ln w="12700">
                          <a:solidFill>
                            <a:srgbClr val="003399"/>
                          </a:solidFill>
                          <a:prstDash val="solid"/>
                        </a:ln>
                      </wps:spPr>
                      <wps:txbx>
                        <w:txbxContent>
                          <w:p w14:paraId="4C73CDC1" w14:textId="77777777" w:rsidR="00D23153" w:rsidRPr="00D23153" w:rsidRDefault="00D23153" w:rsidP="00D23153">
                            <w:pPr>
                              <w:pStyle w:val="BodyText"/>
                              <w:rPr>
                                <w:rFonts w:ascii="Open Sans ExtraBold" w:eastAsiaTheme="minorHAnsi" w:hAnsiTheme="minorHAnsi" w:cstheme="minorBidi"/>
                                <w:b/>
                                <w:color w:val="003399"/>
                                <w:spacing w:val="-2"/>
                                <w:sz w:val="24"/>
                                <w:szCs w:val="28"/>
                                <w:lang w:eastAsia="en-US"/>
                              </w:rPr>
                            </w:pPr>
                            <w:r w:rsidRPr="00D23153">
                              <w:rPr>
                                <w:rFonts w:ascii="Open Sans ExtraBold" w:eastAsiaTheme="minorHAnsi" w:hAnsiTheme="minorHAnsi" w:cstheme="minorBidi"/>
                                <w:b/>
                                <w:color w:val="003399"/>
                                <w:spacing w:val="-2"/>
                                <w:sz w:val="24"/>
                                <w:szCs w:val="28"/>
                                <w:lang w:eastAsia="en-US"/>
                              </w:rPr>
                              <w:t xml:space="preserve">NB: </w:t>
                            </w:r>
                          </w:p>
                          <w:p w14:paraId="11A95356" w14:textId="77777777"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 xml:space="preserve">1. Information provided in the Application Form submitted in WOD2021 prevails over information in all other obligatory documents, attachments to the Application Form, etc. </w:t>
                            </w:r>
                          </w:p>
                          <w:p w14:paraId="27EEC523" w14:textId="77777777"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2. The lead partner (acting as a lead applicant in the WOD2021) of the project is the only responsible partner for submitting the application on behalf of the project consortium.</w:t>
                            </w:r>
                          </w:p>
                        </w:txbxContent>
                      </wps:txbx>
                      <wps:bodyPr wrap="square" lIns="0" tIns="0" rIns="0" bIns="0" rtlCol="0">
                        <a:noAutofit/>
                      </wps:bodyPr>
                    </wps:wsp>
                  </a:graphicData>
                </a:graphic>
              </wp:inline>
            </w:drawing>
          </mc:Choice>
          <mc:Fallback>
            <w:pict>
              <v:shape w14:anchorId="3BDB4D85" id="_x0000_s1072" type="#_x0000_t202" style="width:454.5pt;height:14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" filled="f" strokecolor="#039" strokeweight="1pt">
                <v:path arrowok="t"/>
                <v:textbox inset="0,0,0,0">
                  <w:txbxContent>
                    <w:p w14:paraId="4C73CDC1" w14:textId="77777777" w:rsidR="00D23153" w:rsidRPr="00D23153" w:rsidRDefault="00D23153" w:rsidP="00D23153">
                      <w:pPr>
                        <w:pStyle w:val="BodyText"/>
                        <w:rPr>
                          <w:rFonts w:ascii="Open Sans ExtraBold" w:eastAsiaTheme="minorHAnsi" w:hAnsiTheme="minorHAnsi" w:cstheme="minorBidi"/>
                          <w:b/>
                          <w:color w:val="003399"/>
                          <w:spacing w:val="-2"/>
                          <w:sz w:val="24"/>
                          <w:szCs w:val="28"/>
                          <w:lang w:eastAsia="en-US"/>
                        </w:rPr>
                      </w:pPr>
                      <w:r w:rsidRPr="00D23153">
                        <w:rPr>
                          <w:rFonts w:ascii="Open Sans ExtraBold" w:eastAsiaTheme="minorHAnsi" w:hAnsiTheme="minorHAnsi" w:cstheme="minorBidi"/>
                          <w:b/>
                          <w:color w:val="003399"/>
                          <w:spacing w:val="-2"/>
                          <w:sz w:val="24"/>
                          <w:szCs w:val="28"/>
                          <w:lang w:eastAsia="en-US"/>
                        </w:rPr>
                        <w:t xml:space="preserve">NB: </w:t>
                      </w:r>
                    </w:p>
                    <w:p w14:paraId="11A95356" w14:textId="77777777"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 xml:space="preserve">1. Information provided in the Application Form submitted in WOD2021 prevails over information in all other obligatory documents, attachments to the Application Form, etc. </w:t>
                      </w:r>
                    </w:p>
                    <w:p w14:paraId="27EEC523" w14:textId="77777777"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2. The lead partner (acting as a lead applicant in the WOD2021) of the project is the only responsible partner for submitting the application on behalf of the project consortium.</w:t>
                      </w:r>
                    </w:p>
                  </w:txbxContent>
                </v:textbox>
                <w10:anchorlock/>
              </v:shape>
            </w:pict>
          </mc:Fallback>
        </mc:AlternateContent>
      </w:r>
    </w:p>
    <w:p w14:paraId="7029E01E" w14:textId="0A010358" w:rsidR="006A28C3" w:rsidRPr="00A249BA" w:rsidRDefault="000A7C01" w:rsidP="003C58C0">
      <w:pPr>
        <w:spacing w:line="360" w:lineRule="auto"/>
      </w:pPr>
      <w:r w:rsidRPr="00A249BA">
        <w:t xml:space="preserve">The JS publishes information about the number of submitted applications, as well as the planned meeting of the Monitoring Committee, on the </w:t>
      </w:r>
      <w:hyperlink r:id="rId39" w:history="1">
        <w:r w:rsidR="00E2119A" w:rsidRPr="00DC4ED8">
          <w:rPr>
            <w:rFonts w:ascii="Open Sans ExtraBold"/>
            <w:b/>
            <w:color w:val="003399"/>
            <w:spacing w:val="-2"/>
          </w:rPr>
          <w:t>Programme website</w:t>
        </w:r>
      </w:hyperlink>
      <w:r w:rsidR="005C3686" w:rsidRPr="00A249BA">
        <w:t xml:space="preserve"> </w:t>
      </w:r>
      <w:r w:rsidRPr="00A249BA">
        <w:t xml:space="preserve">after the </w:t>
      </w:r>
      <w:r w:rsidR="0000618F" w:rsidRPr="00A249BA">
        <w:t>c</w:t>
      </w:r>
      <w:r w:rsidRPr="00A249BA">
        <w:t xml:space="preserve">all for </w:t>
      </w:r>
      <w:r w:rsidR="0000618F" w:rsidRPr="00A249BA">
        <w:t>p</w:t>
      </w:r>
      <w:r w:rsidRPr="00A249BA">
        <w:t xml:space="preserve">roposals has been closed. </w:t>
      </w:r>
    </w:p>
    <w:p w14:paraId="7D7F55B4" w14:textId="43B870D0" w:rsidR="00D23153" w:rsidRDefault="000A7C01" w:rsidP="003C58C0">
      <w:pPr>
        <w:spacing w:line="360" w:lineRule="auto"/>
      </w:pPr>
      <w:r w:rsidRPr="00D034FA">
        <w:t xml:space="preserve">Table </w:t>
      </w:r>
      <w:r w:rsidR="00AD60E0" w:rsidRPr="00D034FA">
        <w:t>2</w:t>
      </w:r>
      <w:r w:rsidRPr="00D034FA">
        <w:t xml:space="preserve"> Supporting documents for the open </w:t>
      </w:r>
      <w:r w:rsidR="0000618F" w:rsidRPr="00D034FA">
        <w:t>c</w:t>
      </w:r>
      <w:r w:rsidRPr="00D034FA">
        <w:t xml:space="preserve">all for </w:t>
      </w:r>
      <w:r w:rsidR="0000618F" w:rsidRPr="00D034FA">
        <w:t>p</w:t>
      </w:r>
      <w:r w:rsidRPr="00D034FA">
        <w:t>roposals</w:t>
      </w:r>
      <w:bookmarkEnd w:id="147"/>
    </w:p>
    <w:p w14:paraId="725CC6CB" w14:textId="50CC4599" w:rsidR="00D23153" w:rsidRPr="00D034FA" w:rsidRDefault="0060298F" w:rsidP="003C58C0">
      <w:pPr>
        <w:spacing w:line="360" w:lineRule="auto"/>
      </w:pPr>
      <w:r>
        <w:rPr>
          <w:noProof/>
        </w:rPr>
        <mc:AlternateContent>
          <mc:Choice Requires="wps">
            <w:drawing>
              <wp:inline distT="0" distB="0" distL="0" distR="0" wp14:anchorId="26806710" wp14:editId="26FEA389">
                <wp:extent cx="5772150" cy="3609340"/>
                <wp:effectExtent l="0" t="0" r="19050" b="10160"/>
                <wp:docPr id="1295926113"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3609340"/>
                        </a:xfrm>
                        <a:prstGeom prst="rect">
                          <a:avLst/>
                        </a:prstGeom>
                        <a:ln w="12700">
                          <a:solidFill>
                            <a:srgbClr val="003399"/>
                          </a:solidFill>
                          <a:prstDash val="solid"/>
                        </a:ln>
                      </wps:spPr>
                      <wps:txbx>
                        <w:txbxContent>
                          <w:p w14:paraId="1F1F674D" w14:textId="77777777" w:rsidR="0060298F" w:rsidRPr="00D034FA" w:rsidRDefault="0060298F" w:rsidP="0060298F">
                            <w:pPr>
                              <w:pStyle w:val="ListParagraph"/>
                              <w:numPr>
                                <w:ilvl w:val="0"/>
                                <w:numId w:val="24"/>
                              </w:numPr>
                            </w:pPr>
                            <w:r w:rsidRPr="00D034FA">
                              <w:t>Supplementary Application Form (MS Excel).</w:t>
                            </w:r>
                          </w:p>
                          <w:p w14:paraId="12CAB377" w14:textId="77777777" w:rsidR="0060298F" w:rsidRDefault="0060298F" w:rsidP="0060298F">
                            <w:pPr>
                              <w:pStyle w:val="ListParagraph"/>
                              <w:numPr>
                                <w:ilvl w:val="0"/>
                                <w:numId w:val="24"/>
                              </w:numPr>
                            </w:pPr>
                            <w:r w:rsidRPr="00D034FA">
                              <w:t>Additional documents to be filled in, signed, dated, and stamped using the relevant template forms (where available).</w:t>
                            </w:r>
                          </w:p>
                          <w:p w14:paraId="0553A271" w14:textId="77777777" w:rsidR="0060298F" w:rsidRPr="00A771D8" w:rsidRDefault="0060298F" w:rsidP="0060298F">
                            <w:pPr>
                              <w:pStyle w:val="ListParagraph"/>
                              <w:numPr>
                                <w:ilvl w:val="3"/>
                                <w:numId w:val="22"/>
                              </w:numPr>
                            </w:pPr>
                            <w:r w:rsidRPr="00D034FA">
                              <w:t>Project Partner Declarations;</w:t>
                            </w:r>
                          </w:p>
                          <w:p w14:paraId="748B8417" w14:textId="77777777" w:rsidR="0060298F" w:rsidRPr="00A771D8" w:rsidRDefault="0060298F" w:rsidP="0060298F">
                            <w:pPr>
                              <w:pStyle w:val="ListParagraph"/>
                              <w:numPr>
                                <w:ilvl w:val="3"/>
                                <w:numId w:val="22"/>
                              </w:numPr>
                            </w:pPr>
                            <w:r w:rsidRPr="00D034FA">
                              <w:t>Declaration of compliance with the DNSH principle (if applicable);</w:t>
                            </w:r>
                          </w:p>
                          <w:p w14:paraId="27576BA8" w14:textId="77777777" w:rsidR="0060298F" w:rsidRPr="00A771D8" w:rsidRDefault="0060298F" w:rsidP="0060298F">
                            <w:pPr>
                              <w:pStyle w:val="ListParagraph"/>
                              <w:numPr>
                                <w:ilvl w:val="3"/>
                                <w:numId w:val="22"/>
                              </w:numPr>
                            </w:pPr>
                            <w:r w:rsidRPr="00D034FA">
                              <w:t>Letters of Commitment for all associated partners (if applicable);</w:t>
                            </w:r>
                          </w:p>
                          <w:p w14:paraId="5FC9C4E6" w14:textId="77777777" w:rsidR="0060298F" w:rsidRPr="00A771D8" w:rsidRDefault="0060298F" w:rsidP="0060298F">
                            <w:pPr>
                              <w:pStyle w:val="ListParagraph"/>
                              <w:numPr>
                                <w:ilvl w:val="3"/>
                                <w:numId w:val="22"/>
                              </w:numPr>
                            </w:pPr>
                            <w:r w:rsidRPr="00D034FA">
                              <w:t xml:space="preserve">Letter of Dedication and Support from the EUSBSR PA or HA coordinator (if </w:t>
                            </w:r>
                            <w:r w:rsidRPr="00A771D8">
                              <w:t>applicable</w:t>
                            </w:r>
                            <w:r>
                              <w:t>: t</w:t>
                            </w:r>
                            <w:r w:rsidRPr="000D3ECA">
                              <w:t xml:space="preserve">he list of coordinators can be </w:t>
                            </w:r>
                            <w:r>
                              <w:t xml:space="preserve">found at </w:t>
                            </w:r>
                            <w:hyperlink r:id="rId40" w:history="1">
                              <w:r w:rsidRPr="00056611">
                                <w:rPr>
                                  <w:rStyle w:val="Hyperlink"/>
                                  <w:rFonts w:eastAsia="Open Sans" w:cs="Open Sans"/>
                                  <w:sz w:val="20"/>
                                  <w:szCs w:val="20"/>
                                </w:rPr>
                                <w:t>https://www.eusbsr.eu</w:t>
                              </w:r>
                            </w:hyperlink>
                            <w:r>
                              <w:t>).</w:t>
                            </w:r>
                          </w:p>
                          <w:p w14:paraId="5A93A696" w14:textId="77777777" w:rsidR="0060298F" w:rsidRPr="00A771D8" w:rsidRDefault="0060298F" w:rsidP="0060298F">
                            <w:pPr>
                              <w:pStyle w:val="ListParagraph"/>
                              <w:numPr>
                                <w:ilvl w:val="3"/>
                                <w:numId w:val="22"/>
                              </w:numPr>
                            </w:pPr>
                            <w:r w:rsidRPr="00A771D8">
                              <w:t>Statement on the absence of discriminatory resolutions – for Polish Partners (self-government units and their subordinate units and entities controlled by or dependent on them).</w:t>
                            </w:r>
                          </w:p>
                          <w:p w14:paraId="6D6AAC12" w14:textId="77777777" w:rsidR="0060298F" w:rsidRPr="00D034FA" w:rsidRDefault="0060298F" w:rsidP="0060298F">
                            <w:pPr>
                              <w:pStyle w:val="ListParagraph"/>
                              <w:numPr>
                                <w:ilvl w:val="0"/>
                                <w:numId w:val="24"/>
                              </w:numPr>
                            </w:pPr>
                            <w:r w:rsidRPr="00D034FA">
                              <w:t>Other documents.</w:t>
                            </w:r>
                          </w:p>
                          <w:p w14:paraId="305817BD" w14:textId="77777777" w:rsidR="0060298F" w:rsidRPr="00D034FA" w:rsidRDefault="0060298F" w:rsidP="0060298F">
                            <w:r w:rsidRPr="00D034FA">
                              <w:rPr>
                                <w:rFonts w:ascii="Open Sans ExtraBold"/>
                                <w:b/>
                                <w:color w:val="003399"/>
                                <w:spacing w:val="-2"/>
                              </w:rPr>
                              <w:t>NB:</w:t>
                            </w:r>
                            <w:r w:rsidRPr="00D92476">
                              <w:rPr>
                                <w:rFonts w:ascii="Segoe UI" w:hAnsi="Segoe UI" w:cs="Segoe UI"/>
                              </w:rPr>
                              <w:t xml:space="preserve"> </w:t>
                            </w:r>
                            <w:r w:rsidRPr="00D034FA">
                              <w:t xml:space="preserve">The JS reserves the right to request any partner to submit additional documents during the assessment process to support their financial, organisational and/or management capabilities and eligibility in accordance with the Programme rules. </w:t>
                            </w:r>
                          </w:p>
                          <w:p w14:paraId="3E938866" w14:textId="77777777" w:rsidR="0060298F" w:rsidRPr="00D034FA" w:rsidRDefault="0060298F" w:rsidP="0060298F">
                            <w:pPr>
                              <w:pStyle w:val="BodyText"/>
                              <w:rPr>
                                <w:rFonts w:eastAsia="Open Sans SemiBold"/>
                              </w:rPr>
                            </w:pPr>
                            <w:r w:rsidRPr="00D034FA">
                              <w:rPr>
                                <w:rFonts w:eastAsia="Open Sans SemiBold"/>
                              </w:rPr>
                              <w:t>Documents related to the State Aid/De minimis aid can be also requested during the assessment process.</w:t>
                            </w:r>
                          </w:p>
                        </w:txbxContent>
                      </wps:txbx>
                      <wps:bodyPr wrap="square" lIns="0" tIns="0" rIns="0" bIns="0" rtlCol="0">
                        <a:noAutofit/>
                      </wps:bodyPr>
                    </wps:wsp>
                  </a:graphicData>
                </a:graphic>
              </wp:inline>
            </w:drawing>
          </mc:Choice>
          <mc:Fallback>
            <w:pict>
              <v:shape w14:anchorId="26806710" id="_x0000_s1073" type="#_x0000_t202" style="width:454.5pt;height:28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" filled="f" strokecolor="#039" strokeweight="1pt">
                <v:path arrowok="t"/>
                <v:textbox inset="0,0,0,0">
                  <w:txbxContent>
                    <w:p w14:paraId="1F1F674D" w14:textId="77777777" w:rsidR="0060298F" w:rsidRPr="00D034FA" w:rsidRDefault="0060298F" w:rsidP="0060298F">
                      <w:pPr>
                        <w:pStyle w:val="ListParagraph"/>
                        <w:numPr>
                          <w:ilvl w:val="0"/>
                          <w:numId w:val="24"/>
                        </w:numPr>
                      </w:pPr>
                      <w:r w:rsidRPr="00D034FA">
                        <w:t>Supplementary Application Form (MS Excel).</w:t>
                      </w:r>
                    </w:p>
                    <w:p w14:paraId="12CAB377" w14:textId="77777777" w:rsidR="0060298F" w:rsidRDefault="0060298F" w:rsidP="0060298F">
                      <w:pPr>
                        <w:pStyle w:val="ListParagraph"/>
                        <w:numPr>
                          <w:ilvl w:val="0"/>
                          <w:numId w:val="24"/>
                        </w:numPr>
                      </w:pPr>
                      <w:r w:rsidRPr="00D034FA">
                        <w:t>Additional documents to be filled in, signed, dated, and stamped using the relevant template forms (where available).</w:t>
                      </w:r>
                    </w:p>
                    <w:p w14:paraId="0553A271" w14:textId="77777777" w:rsidR="0060298F" w:rsidRPr="00A771D8" w:rsidRDefault="0060298F" w:rsidP="0060298F">
                      <w:pPr>
                        <w:pStyle w:val="ListParagraph"/>
                        <w:numPr>
                          <w:ilvl w:val="3"/>
                          <w:numId w:val="22"/>
                        </w:numPr>
                      </w:pPr>
                      <w:r w:rsidRPr="00D034FA">
                        <w:t>Project Partner Declarations;</w:t>
                      </w:r>
                    </w:p>
                    <w:p w14:paraId="748B8417" w14:textId="77777777" w:rsidR="0060298F" w:rsidRPr="00A771D8" w:rsidRDefault="0060298F" w:rsidP="0060298F">
                      <w:pPr>
                        <w:pStyle w:val="ListParagraph"/>
                        <w:numPr>
                          <w:ilvl w:val="3"/>
                          <w:numId w:val="22"/>
                        </w:numPr>
                      </w:pPr>
                      <w:r w:rsidRPr="00D034FA">
                        <w:t>Declaration of compliance with the DNSH principle (if applicable);</w:t>
                      </w:r>
                    </w:p>
                    <w:p w14:paraId="27576BA8" w14:textId="77777777" w:rsidR="0060298F" w:rsidRPr="00A771D8" w:rsidRDefault="0060298F" w:rsidP="0060298F">
                      <w:pPr>
                        <w:pStyle w:val="ListParagraph"/>
                        <w:numPr>
                          <w:ilvl w:val="3"/>
                          <w:numId w:val="22"/>
                        </w:numPr>
                      </w:pPr>
                      <w:r w:rsidRPr="00D034FA">
                        <w:t>Letters of Commitment for all associated partners (if applicable);</w:t>
                      </w:r>
                    </w:p>
                    <w:p w14:paraId="5FC9C4E6" w14:textId="77777777" w:rsidR="0060298F" w:rsidRPr="00A771D8" w:rsidRDefault="0060298F" w:rsidP="0060298F">
                      <w:pPr>
                        <w:pStyle w:val="ListParagraph"/>
                        <w:numPr>
                          <w:ilvl w:val="3"/>
                          <w:numId w:val="22"/>
                        </w:numPr>
                      </w:pPr>
                      <w:r w:rsidRPr="00D034FA">
                        <w:t xml:space="preserve">Letter of Dedication and Support from the EUSBSR PA or HA coordinator (if </w:t>
                      </w:r>
                      <w:r w:rsidRPr="00A771D8">
                        <w:t>applicable</w:t>
                      </w:r>
                      <w:r>
                        <w:t>: t</w:t>
                      </w:r>
                      <w:r w:rsidRPr="000D3ECA">
                        <w:t xml:space="preserve">he list of coordinators can be </w:t>
                      </w:r>
                      <w:r>
                        <w:t xml:space="preserve">found at </w:t>
                      </w:r>
                      <w:hyperlink r:id="rId41" w:history="1">
                        <w:r w:rsidRPr="00056611">
                          <w:rPr>
                            <w:rStyle w:val="Hyperlink"/>
                            <w:rFonts w:eastAsia="Open Sans" w:cs="Open Sans"/>
                            <w:sz w:val="20"/>
                            <w:szCs w:val="20"/>
                          </w:rPr>
                          <w:t>https://www.eusbsr.eu</w:t>
                        </w:r>
                      </w:hyperlink>
                      <w:r>
                        <w:t>).</w:t>
                      </w:r>
                    </w:p>
                    <w:p w14:paraId="5A93A696" w14:textId="77777777" w:rsidR="0060298F" w:rsidRPr="00A771D8" w:rsidRDefault="0060298F" w:rsidP="0060298F">
                      <w:pPr>
                        <w:pStyle w:val="ListParagraph"/>
                        <w:numPr>
                          <w:ilvl w:val="3"/>
                          <w:numId w:val="22"/>
                        </w:numPr>
                      </w:pPr>
                      <w:r w:rsidRPr="00A771D8">
                        <w:t>Statement on the absence of discriminatory resolutions – for Polish Partners (self-government units and their subordinate units and entities controlled by or dependent on them).</w:t>
                      </w:r>
                    </w:p>
                    <w:p w14:paraId="6D6AAC12" w14:textId="77777777" w:rsidR="0060298F" w:rsidRPr="00D034FA" w:rsidRDefault="0060298F" w:rsidP="0060298F">
                      <w:pPr>
                        <w:pStyle w:val="ListParagraph"/>
                        <w:numPr>
                          <w:ilvl w:val="0"/>
                          <w:numId w:val="24"/>
                        </w:numPr>
                      </w:pPr>
                      <w:r w:rsidRPr="00D034FA">
                        <w:t>Other documents.</w:t>
                      </w:r>
                    </w:p>
                    <w:p w14:paraId="305817BD" w14:textId="77777777" w:rsidR="0060298F" w:rsidRPr="00D034FA" w:rsidRDefault="0060298F" w:rsidP="0060298F">
                      <w:r w:rsidRPr="00D034FA">
                        <w:rPr>
                          <w:rFonts w:ascii="Open Sans ExtraBold"/>
                          <w:b/>
                          <w:color w:val="003399"/>
                          <w:spacing w:val="-2"/>
                        </w:rPr>
                        <w:t>NB:</w:t>
                      </w:r>
                      <w:r w:rsidRPr="00D92476">
                        <w:rPr>
                          <w:rFonts w:ascii="Segoe UI" w:hAnsi="Segoe UI" w:cs="Segoe UI"/>
                        </w:rPr>
                        <w:t xml:space="preserve"> </w:t>
                      </w:r>
                      <w:r w:rsidRPr="00D034FA">
                        <w:t xml:space="preserve">The JS reserves the right to request any partner to submit additional documents during the assessment process to support their financial, organisational and/or management capabilities and eligibility in accordance with the Programme rules. </w:t>
                      </w:r>
                    </w:p>
                    <w:p w14:paraId="3E938866" w14:textId="77777777" w:rsidR="0060298F" w:rsidRPr="00D034FA" w:rsidRDefault="0060298F" w:rsidP="0060298F">
                      <w:pPr>
                        <w:pStyle w:val="BodyText"/>
                        <w:rPr>
                          <w:rFonts w:eastAsia="Open Sans SemiBold"/>
                        </w:rPr>
                      </w:pPr>
                      <w:r w:rsidRPr="00D034FA">
                        <w:rPr>
                          <w:rFonts w:eastAsia="Open Sans SemiBold"/>
                        </w:rPr>
                        <w:t>Documents related to the State Aid/De minimis aid can be also requested during the assessment process.</w:t>
                      </w:r>
                    </w:p>
                  </w:txbxContent>
                </v:textbox>
                <w10:anchorlock/>
              </v:shape>
            </w:pict>
          </mc:Fallback>
        </mc:AlternateContent>
      </w:r>
    </w:p>
    <w:p w14:paraId="374FC7D1" w14:textId="2075C9C5" w:rsidR="000A7C01" w:rsidRPr="00D034FA" w:rsidRDefault="00C03831" w:rsidP="003C58C0">
      <w:pPr>
        <w:pStyle w:val="Heading2"/>
        <w:spacing w:line="360" w:lineRule="auto"/>
      </w:pPr>
      <w:bookmarkStart w:id="148" w:name="_Toc147242446"/>
      <w:r w:rsidRPr="00D034FA">
        <w:t>5</w:t>
      </w:r>
      <w:r w:rsidR="000A7C01" w:rsidRPr="00D034FA">
        <w:t xml:space="preserve"> ASSESSMENT OF APPLICATIONS</w:t>
      </w:r>
      <w:bookmarkEnd w:id="148"/>
    </w:p>
    <w:p w14:paraId="5878472A" w14:textId="366C6D2C" w:rsidR="000A7C01" w:rsidRPr="00D034FA" w:rsidRDefault="000123D4" w:rsidP="003C58C0">
      <w:pPr>
        <w:spacing w:line="360" w:lineRule="auto"/>
      </w:pPr>
      <w:r w:rsidRPr="00D034FA">
        <w:t>A</w:t>
      </w:r>
      <w:r w:rsidR="000A7C01" w:rsidRPr="00D034FA">
        <w:t xml:space="preserve">ssessment of </w:t>
      </w:r>
      <w:r w:rsidRPr="00D034FA">
        <w:t xml:space="preserve">the </w:t>
      </w:r>
      <w:r w:rsidR="000A7C01" w:rsidRPr="00D034FA">
        <w:t xml:space="preserve">received applications follows a standardised procedure based on </w:t>
      </w:r>
      <w:r w:rsidRPr="00D034FA">
        <w:t xml:space="preserve">the </w:t>
      </w:r>
      <w:r w:rsidR="000A7C01" w:rsidRPr="00D034FA">
        <w:t>principles of transparency and equal treatment.</w:t>
      </w:r>
    </w:p>
    <w:p w14:paraId="194EEA2E" w14:textId="7FF2D970" w:rsidR="000A7C01" w:rsidRPr="00ED3491" w:rsidRDefault="00035980" w:rsidP="003C58C0">
      <w:pPr>
        <w:spacing w:line="360" w:lineRule="auto"/>
        <w:rPr>
          <w:rFonts w:ascii="Segoe UI" w:hAnsi="Segoe UI" w:cs="Segoe UI"/>
          <w:lang w:val="en-GB"/>
        </w:rPr>
      </w:pPr>
      <w:r w:rsidRPr="00D034FA">
        <w:lastRenderedPageBreak/>
        <w:t>S</w:t>
      </w:r>
      <w:r w:rsidR="000A7C01" w:rsidRPr="00D034FA">
        <w:t>ubmitted and registered application</w:t>
      </w:r>
      <w:r w:rsidRPr="00D034FA">
        <w:t>s</w:t>
      </w:r>
      <w:r w:rsidR="000A7C01" w:rsidRPr="00D034FA">
        <w:t xml:space="preserve"> </w:t>
      </w:r>
      <w:r w:rsidRPr="00D034FA">
        <w:t>are</w:t>
      </w:r>
      <w:r w:rsidR="000A7C01" w:rsidRPr="00D034FA">
        <w:t xml:space="preserve"> subject to a two-stage assessment:</w:t>
      </w:r>
    </w:p>
    <w:p w14:paraId="037AAAFA" w14:textId="14CC9F3A" w:rsidR="000A7C01" w:rsidRPr="00D034FA" w:rsidRDefault="000A7C01" w:rsidP="003C58C0">
      <w:pPr>
        <w:pStyle w:val="ListParagraph"/>
        <w:numPr>
          <w:ilvl w:val="0"/>
          <w:numId w:val="67"/>
        </w:numPr>
        <w:spacing w:line="360" w:lineRule="auto"/>
      </w:pPr>
      <w:r w:rsidRPr="00D034FA">
        <w:t>Admi</w:t>
      </w:r>
      <w:r w:rsidR="0009427D" w:rsidRPr="00D034FA">
        <w:t xml:space="preserve">ssibility </w:t>
      </w:r>
      <w:r w:rsidRPr="00D034FA">
        <w:t xml:space="preserve">and eligibility </w:t>
      </w:r>
      <w:r w:rsidR="00BE7BAD">
        <w:t>check</w:t>
      </w:r>
      <w:r w:rsidRPr="00D034FA">
        <w:t xml:space="preserve">. </w:t>
      </w:r>
    </w:p>
    <w:p w14:paraId="2F35FFF5" w14:textId="671FC558" w:rsidR="007A6706" w:rsidRPr="00D034FA" w:rsidRDefault="007A6706" w:rsidP="003C58C0">
      <w:pPr>
        <w:spacing w:line="360" w:lineRule="auto"/>
      </w:pPr>
      <w:r w:rsidRPr="00D034FA">
        <w:t xml:space="preserve">Each project proposal is </w:t>
      </w:r>
      <w:r w:rsidR="00AF1CCD">
        <w:t>checked</w:t>
      </w:r>
      <w:r w:rsidR="00C15AF9" w:rsidRPr="00D034FA">
        <w:t xml:space="preserve"> against the Admissibility and eligibility criteria determined by the Programme including the </w:t>
      </w:r>
      <w:r w:rsidRPr="00D034FA">
        <w:t xml:space="preserve">partners’ financial, administrative, and operational capacities. </w:t>
      </w:r>
      <w:r w:rsidR="00C15AF9" w:rsidRPr="00D034FA">
        <w:t xml:space="preserve">When </w:t>
      </w:r>
      <w:r w:rsidR="00832836" w:rsidRPr="00D034FA">
        <w:t>forming</w:t>
      </w:r>
      <w:r w:rsidR="00C15AF9" w:rsidRPr="00D034FA">
        <w:t xml:space="preserve"> partnership consortiums, it </w:t>
      </w:r>
      <w:r w:rsidRPr="00D034FA">
        <w:t xml:space="preserve">is recommended </w:t>
      </w:r>
      <w:r w:rsidR="00C15AF9" w:rsidRPr="00D034FA">
        <w:t>to pay special</w:t>
      </w:r>
      <w:r w:rsidRPr="00D034FA">
        <w:t xml:space="preserve"> attention to </w:t>
      </w:r>
      <w:r w:rsidR="00274A1C" w:rsidRPr="00D034FA">
        <w:t xml:space="preserve">the </w:t>
      </w:r>
      <w:r w:rsidRPr="00D034FA">
        <w:t>financial and operational capacities of project partners that are private actors.</w:t>
      </w:r>
    </w:p>
    <w:p w14:paraId="26372536" w14:textId="1ED9CE78" w:rsidR="007A6706" w:rsidRPr="00D034FA" w:rsidRDefault="007A6706" w:rsidP="003C58C0">
      <w:pPr>
        <w:spacing w:line="360" w:lineRule="auto"/>
      </w:pPr>
      <w:r w:rsidRPr="00D034FA">
        <w:t xml:space="preserve">It is recommended to consult the formed partnerships with </w:t>
      </w:r>
      <w:r w:rsidR="00E142E4" w:rsidRPr="00D034FA">
        <w:t xml:space="preserve">the </w:t>
      </w:r>
      <w:r w:rsidRPr="00D034FA">
        <w:t>Contact Points of the Programme before applying.</w:t>
      </w:r>
    </w:p>
    <w:p w14:paraId="13FDD825" w14:textId="3F38C7D1" w:rsidR="000A7C01" w:rsidRPr="00D034FA" w:rsidRDefault="00035980" w:rsidP="003C58C0">
      <w:pPr>
        <w:pStyle w:val="ListParagraph"/>
        <w:numPr>
          <w:ilvl w:val="0"/>
          <w:numId w:val="67"/>
        </w:numPr>
        <w:spacing w:line="360" w:lineRule="auto"/>
      </w:pPr>
      <w:r w:rsidRPr="00D034FA">
        <w:t>State aid and q</w:t>
      </w:r>
      <w:r w:rsidR="000A7C01" w:rsidRPr="00D034FA">
        <w:t>uality assessment.</w:t>
      </w:r>
    </w:p>
    <w:p w14:paraId="0C59B413" w14:textId="53483D24" w:rsidR="000A7C01" w:rsidRDefault="000A7C01" w:rsidP="003C58C0">
      <w:pPr>
        <w:spacing w:line="360" w:lineRule="auto"/>
      </w:pPr>
      <w:r w:rsidRPr="00D034FA">
        <w:t xml:space="preserve">Please be informed that the application </w:t>
      </w:r>
      <w:r w:rsidR="000123D4" w:rsidRPr="00D034FA">
        <w:t xml:space="preserve">can only </w:t>
      </w:r>
      <w:r w:rsidR="00D034FA" w:rsidRPr="00D034FA">
        <w:t>be subjected</w:t>
      </w:r>
      <w:r w:rsidR="000123D4" w:rsidRPr="00D034FA">
        <w:t xml:space="preserve"> to the State aid and quality assessment if </w:t>
      </w:r>
      <w:r w:rsidRPr="00D034FA">
        <w:t xml:space="preserve">passes the Administrative and eligibility check. </w:t>
      </w:r>
    </w:p>
    <w:p w14:paraId="04B89DFB" w14:textId="5D747E9B" w:rsidR="007A6706" w:rsidRPr="00474CF3" w:rsidRDefault="0060298F" w:rsidP="003C58C0">
      <w:pPr>
        <w:spacing w:line="360" w:lineRule="auto"/>
        <w:rPr>
          <w:lang w:val="en-GB"/>
        </w:rPr>
      </w:pPr>
      <w:r>
        <w:rPr>
          <w:noProof/>
        </w:rPr>
        <mc:AlternateContent>
          <mc:Choice Requires="wps">
            <w:drawing>
              <wp:inline distT="0" distB="0" distL="0" distR="0" wp14:anchorId="5929FABD" wp14:editId="3A851D38">
                <wp:extent cx="5772150" cy="1657350"/>
                <wp:effectExtent l="0" t="0" r="19050" b="19050"/>
                <wp:docPr id="855399480"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657350"/>
                        </a:xfrm>
                        <a:prstGeom prst="rect">
                          <a:avLst/>
                        </a:prstGeom>
                        <a:ln w="12700">
                          <a:solidFill>
                            <a:srgbClr val="003399"/>
                          </a:solidFill>
                          <a:prstDash val="solid"/>
                        </a:ln>
                      </wps:spPr>
                      <wps:txbx>
                        <w:txbxContent>
                          <w:p w14:paraId="392072C4" w14:textId="77777777" w:rsidR="0060298F" w:rsidRPr="00D23153" w:rsidRDefault="0060298F" w:rsidP="0060298F">
                            <w:pPr>
                              <w:rPr>
                                <w:rFonts w:ascii="Open Sans ExtraBold" w:hAnsiTheme="minorHAnsi"/>
                                <w:b/>
                                <w:color w:val="003399"/>
                                <w:spacing w:val="-2"/>
                                <w:szCs w:val="28"/>
                              </w:rPr>
                            </w:pPr>
                            <w:r w:rsidRPr="00D23153">
                              <w:rPr>
                                <w:rFonts w:ascii="Open Sans ExtraBold" w:hAnsiTheme="minorHAnsi"/>
                                <w:b/>
                                <w:color w:val="003399"/>
                                <w:spacing w:val="-2"/>
                                <w:szCs w:val="28"/>
                              </w:rPr>
                              <w:t>NB:</w:t>
                            </w:r>
                          </w:p>
                          <w:p w14:paraId="2CDFABE3" w14:textId="77777777" w:rsidR="0060298F" w:rsidRPr="00D23153" w:rsidRDefault="0060298F" w:rsidP="0060298F">
                            <w:pPr>
                              <w:pStyle w:val="BodyText"/>
                              <w:numPr>
                                <w:ilvl w:val="0"/>
                                <w:numId w:val="8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 xml:space="preserve">It is strongly recommended to get familiar with the assessment criteria to make sure the submitted application corresponds to all Programme requirements. </w:t>
                            </w:r>
                          </w:p>
                          <w:p w14:paraId="1BD1DF69" w14:textId="77777777" w:rsidR="0060298F" w:rsidRPr="00D23153" w:rsidRDefault="0060298F" w:rsidP="0060298F">
                            <w:pPr>
                              <w:pStyle w:val="BodyText"/>
                              <w:numPr>
                                <w:ilvl w:val="0"/>
                                <w:numId w:val="8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Annex 6 Project selection process and criteria provides an explicit description of the assessment criteria and evaluation process.</w:t>
                            </w:r>
                          </w:p>
                        </w:txbxContent>
                      </wps:txbx>
                      <wps:bodyPr wrap="square" lIns="0" tIns="0" rIns="0" bIns="0" rtlCol="0">
                        <a:noAutofit/>
                      </wps:bodyPr>
                    </wps:wsp>
                  </a:graphicData>
                </a:graphic>
              </wp:inline>
            </w:drawing>
          </mc:Choice>
          <mc:Fallback>
            <w:pict>
              <v:shape w14:anchorId="5929FABD" id="_x0000_s1074" type="#_x0000_t202" style="width:454.5pt;height:1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" filled="f" strokecolor="#039" strokeweight="1pt">
                <v:path arrowok="t"/>
                <v:textbox inset="0,0,0,0">
                  <w:txbxContent>
                    <w:p w14:paraId="392072C4" w14:textId="77777777" w:rsidR="0060298F" w:rsidRPr="00D23153" w:rsidRDefault="0060298F" w:rsidP="0060298F">
                      <w:pPr>
                        <w:rPr>
                          <w:rFonts w:ascii="Open Sans ExtraBold" w:hAnsiTheme="minorHAnsi"/>
                          <w:b/>
                          <w:color w:val="003399"/>
                          <w:spacing w:val="-2"/>
                          <w:szCs w:val="28"/>
                        </w:rPr>
                      </w:pPr>
                      <w:r w:rsidRPr="00D23153">
                        <w:rPr>
                          <w:rFonts w:ascii="Open Sans ExtraBold" w:hAnsiTheme="minorHAnsi"/>
                          <w:b/>
                          <w:color w:val="003399"/>
                          <w:spacing w:val="-2"/>
                          <w:szCs w:val="28"/>
                        </w:rPr>
                        <w:t>NB:</w:t>
                      </w:r>
                    </w:p>
                    <w:p w14:paraId="2CDFABE3" w14:textId="77777777" w:rsidR="0060298F" w:rsidRPr="00D23153" w:rsidRDefault="0060298F" w:rsidP="0060298F">
                      <w:pPr>
                        <w:pStyle w:val="BodyText"/>
                        <w:numPr>
                          <w:ilvl w:val="0"/>
                          <w:numId w:val="8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 xml:space="preserve">It is strongly recommended to get familiar with the assessment criteria to make sure the submitted application corresponds to all Programme requirements. </w:t>
                      </w:r>
                    </w:p>
                    <w:p w14:paraId="1BD1DF69" w14:textId="77777777" w:rsidR="0060298F" w:rsidRPr="00D23153" w:rsidRDefault="0060298F" w:rsidP="0060298F">
                      <w:pPr>
                        <w:pStyle w:val="BodyText"/>
                        <w:numPr>
                          <w:ilvl w:val="0"/>
                          <w:numId w:val="8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Annex 6 Project selection process and criteria provides an explicit description of the assessment criteria and evaluation process.</w:t>
                      </w:r>
                    </w:p>
                  </w:txbxContent>
                </v:textbox>
                <w10:anchorlock/>
              </v:shape>
            </w:pict>
          </mc:Fallback>
        </mc:AlternateContent>
      </w:r>
    </w:p>
    <w:p w14:paraId="44FC80D1" w14:textId="29F118AF" w:rsidR="00474CF3" w:rsidRPr="004E2290" w:rsidRDefault="00C03831" w:rsidP="003C58C0">
      <w:pPr>
        <w:pStyle w:val="Heading2"/>
        <w:spacing w:line="360" w:lineRule="auto"/>
        <w:rPr>
          <w:rFonts w:ascii="Segoe UI" w:hAnsi="Segoe UI" w:cs="Segoe UI"/>
          <w:bCs/>
          <w:color w:val="1C4E6D"/>
          <w:lang w:val="en-GB"/>
        </w:rPr>
      </w:pPr>
      <w:bookmarkStart w:id="149" w:name="_Toc147242447"/>
      <w:r w:rsidRPr="00D034FA">
        <w:t>6</w:t>
      </w:r>
      <w:r w:rsidR="000A7C01" w:rsidRPr="00D034FA">
        <w:t xml:space="preserve"> SELECTION OF PROJECTS AND COMPLAINTS PROCEDURE</w:t>
      </w:r>
      <w:bookmarkEnd w:id="149"/>
    </w:p>
    <w:p w14:paraId="6B117A7F" w14:textId="15EBA3CF" w:rsidR="00474CF3" w:rsidRPr="00D034FA" w:rsidRDefault="00C03831" w:rsidP="003C58C0">
      <w:pPr>
        <w:pStyle w:val="Heading3"/>
        <w:spacing w:line="360" w:lineRule="auto"/>
      </w:pPr>
      <w:bookmarkStart w:id="150" w:name="_Toc147242448"/>
      <w:r w:rsidRPr="00D034FA">
        <w:t>6</w:t>
      </w:r>
      <w:r w:rsidR="00474CF3" w:rsidRPr="00D034FA">
        <w:t>.1 Selection</w:t>
      </w:r>
      <w:bookmarkEnd w:id="150"/>
    </w:p>
    <w:p w14:paraId="6AD05C7E" w14:textId="77777777" w:rsidR="00474CF3" w:rsidRPr="00D034FA" w:rsidRDefault="00474CF3" w:rsidP="003C58C0">
      <w:pPr>
        <w:spacing w:line="360" w:lineRule="auto"/>
      </w:pPr>
      <w:r w:rsidRPr="00D034FA">
        <w:t xml:space="preserve">The decision on the selection of project proposals is taken by the Monitoring Committee of the Programme, based on the results of the assessment and selection processes. </w:t>
      </w:r>
    </w:p>
    <w:p w14:paraId="56792CA2" w14:textId="6C289BB6" w:rsidR="00474CF3" w:rsidRPr="00D034FA" w:rsidRDefault="00474CF3" w:rsidP="003C58C0">
      <w:pPr>
        <w:spacing w:line="360" w:lineRule="auto"/>
      </w:pPr>
      <w:r w:rsidRPr="00D034FA">
        <w:t xml:space="preserve">The </w:t>
      </w:r>
      <w:r w:rsidR="00322D12" w:rsidRPr="00D034FA">
        <w:t xml:space="preserve">Monitoring </w:t>
      </w:r>
      <w:r w:rsidRPr="00D034FA">
        <w:t xml:space="preserve">Committee usually meets within </w:t>
      </w:r>
      <w:r w:rsidRPr="00A771D8">
        <w:rPr>
          <w:rFonts w:ascii="Open Sans SemiBold" w:eastAsia="Open Sans SemiBold" w:hAnsi="Open Sans SemiBold" w:cs="Open Sans SemiBold"/>
          <w:bCs/>
          <w:color w:val="003399"/>
        </w:rPr>
        <w:t>14 weeks</w:t>
      </w:r>
      <w:r w:rsidRPr="00D034FA">
        <w:t xml:space="preserve"> from the closure of the respective </w:t>
      </w:r>
      <w:r w:rsidR="0000618F" w:rsidRPr="00D034FA">
        <w:t>c</w:t>
      </w:r>
      <w:r w:rsidRPr="00D034FA">
        <w:t xml:space="preserve">all for </w:t>
      </w:r>
      <w:r w:rsidR="0000618F" w:rsidRPr="00D034FA">
        <w:t>p</w:t>
      </w:r>
      <w:r w:rsidRPr="00D034FA">
        <w:t xml:space="preserve">roposals. However, this period can be prolonged under </w:t>
      </w:r>
      <w:r w:rsidRPr="00D034FA">
        <w:lastRenderedPageBreak/>
        <w:t>some circumstances</w:t>
      </w:r>
      <w:r w:rsidRPr="00D034FA" w:rsidDel="004C4FCE">
        <w:t xml:space="preserve"> </w:t>
      </w:r>
      <w:r w:rsidRPr="00D034FA">
        <w:t>(e.g., a large volume of applications).</w:t>
      </w:r>
      <w:r w:rsidR="00B42A8C" w:rsidRPr="00D034FA">
        <w:t xml:space="preserve"> T</w:t>
      </w:r>
      <w:r w:rsidRPr="00D034FA">
        <w:t>he JS publishes a list of the approved projects on the</w:t>
      </w:r>
      <w:r w:rsidR="00A771D8">
        <w:t xml:space="preserve"> </w:t>
      </w:r>
      <w:hyperlink r:id="rId42" w:history="1">
        <w:r w:rsidR="00A771D8" w:rsidRPr="00DC4ED8">
          <w:rPr>
            <w:rFonts w:ascii="Open Sans ExtraBold"/>
            <w:b/>
            <w:color w:val="003399"/>
            <w:spacing w:val="-2"/>
          </w:rPr>
          <w:t>Programme website</w:t>
        </w:r>
      </w:hyperlink>
      <w:r w:rsidRPr="00D034FA">
        <w:t xml:space="preserve"> </w:t>
      </w:r>
      <w:r w:rsidR="00B42A8C" w:rsidRPr="00D034FA">
        <w:t>immediately after the Monitoring Committee meeting.</w:t>
      </w:r>
    </w:p>
    <w:p w14:paraId="01B21B32" w14:textId="228F2422" w:rsidR="00474CF3" w:rsidRPr="00D034FA" w:rsidRDefault="00474CF3" w:rsidP="003C58C0">
      <w:pPr>
        <w:spacing w:line="360" w:lineRule="auto"/>
      </w:pPr>
      <w:r w:rsidRPr="00D034FA">
        <w:t xml:space="preserve">The result of the assessment of each Application Form with full justification of the approval/rejection of the project application is </w:t>
      </w:r>
      <w:r w:rsidR="008D2431" w:rsidRPr="00D034FA">
        <w:t>submitted</w:t>
      </w:r>
      <w:r w:rsidRPr="00D034FA">
        <w:t xml:space="preserve"> via the </w:t>
      </w:r>
      <w:r w:rsidR="00BC692C" w:rsidRPr="00D034FA">
        <w:t>WOD2021</w:t>
      </w:r>
      <w:r w:rsidRPr="00D034FA">
        <w:t xml:space="preserve"> Application system.</w:t>
      </w:r>
    </w:p>
    <w:p w14:paraId="28CA0690" w14:textId="66A44F6B" w:rsidR="00474CF3" w:rsidRPr="00D034FA" w:rsidRDefault="00474CF3" w:rsidP="003C58C0">
      <w:pPr>
        <w:spacing w:line="360" w:lineRule="auto"/>
      </w:pPr>
      <w:r w:rsidRPr="00D034FA">
        <w:t>I</w:t>
      </w:r>
      <w:r w:rsidR="00B42A8C" w:rsidRPr="00D034FA">
        <w:t>f</w:t>
      </w:r>
      <w:r w:rsidRPr="00D034FA">
        <w:t xml:space="preserve"> the project is approved, but </w:t>
      </w:r>
      <w:r w:rsidR="008D2431" w:rsidRPr="00D034FA">
        <w:t>certain condition</w:t>
      </w:r>
      <w:r w:rsidR="0042750E" w:rsidRPr="00D034FA">
        <w:t>s</w:t>
      </w:r>
      <w:r w:rsidR="008D2431" w:rsidRPr="00D034FA">
        <w:t xml:space="preserve"> are set by the MC</w:t>
      </w:r>
      <w:r w:rsidRPr="00D034FA">
        <w:t xml:space="preserve">, the </w:t>
      </w:r>
      <w:r w:rsidR="00D45EFF" w:rsidRPr="00D034FA">
        <w:t>l</w:t>
      </w:r>
      <w:r w:rsidRPr="00D034FA">
        <w:t xml:space="preserve">ead </w:t>
      </w:r>
      <w:r w:rsidR="00D45EFF" w:rsidRPr="00D034FA">
        <w:t>a</w:t>
      </w:r>
      <w:r w:rsidRPr="00D034FA">
        <w:t xml:space="preserve">pplicant will be accordingly notified by the JS via the </w:t>
      </w:r>
      <w:r w:rsidR="00DD30C4" w:rsidRPr="00D034FA">
        <w:t xml:space="preserve">CST2021 </w:t>
      </w:r>
      <w:r w:rsidRPr="00D034FA">
        <w:t xml:space="preserve">Application system. The </w:t>
      </w:r>
      <w:r w:rsidR="00D45EFF" w:rsidRPr="00D034FA">
        <w:t>l</w:t>
      </w:r>
      <w:r w:rsidRPr="00D034FA">
        <w:t xml:space="preserve">ead </w:t>
      </w:r>
      <w:r w:rsidR="00D45EFF" w:rsidRPr="00D034FA">
        <w:t>a</w:t>
      </w:r>
      <w:r w:rsidRPr="00D034FA">
        <w:t xml:space="preserve">pplicant is obliged to forward the information received by the JS to </w:t>
      </w:r>
      <w:r w:rsidR="00B42A8C" w:rsidRPr="00D034FA">
        <w:t xml:space="preserve">the </w:t>
      </w:r>
      <w:r w:rsidRPr="00D034FA">
        <w:t>other project partners (if applicable).</w:t>
      </w:r>
    </w:p>
    <w:p w14:paraId="696A7B09" w14:textId="3158E001" w:rsidR="00474CF3" w:rsidRPr="00D034FA" w:rsidRDefault="00474CF3" w:rsidP="003C58C0">
      <w:pPr>
        <w:spacing w:line="360" w:lineRule="auto"/>
      </w:pPr>
      <w:r w:rsidRPr="00D034FA">
        <w:t xml:space="preserve">The clarification process will take place in the </w:t>
      </w:r>
      <w:r w:rsidR="00DD30C4" w:rsidRPr="00D034FA">
        <w:t>CST2021 A</w:t>
      </w:r>
      <w:r w:rsidRPr="00D034FA">
        <w:t>pplication system.</w:t>
      </w:r>
    </w:p>
    <w:p w14:paraId="34FEE601" w14:textId="2640A156" w:rsidR="00474CF3" w:rsidRPr="00A771D8" w:rsidRDefault="00474CF3" w:rsidP="003C58C0">
      <w:pPr>
        <w:spacing w:line="360" w:lineRule="auto"/>
      </w:pPr>
      <w:r w:rsidRPr="00A771D8">
        <w:t xml:space="preserve">The project will be finally approved only after the conditions have been fulfilled and all clarifications </w:t>
      </w:r>
      <w:r w:rsidR="00B42A8C" w:rsidRPr="00A771D8">
        <w:t xml:space="preserve">have been </w:t>
      </w:r>
      <w:r w:rsidRPr="00A771D8">
        <w:t>delivered</w:t>
      </w:r>
      <w:r w:rsidR="008D2431" w:rsidRPr="00A771D8">
        <w:t xml:space="preserve"> and accepted by the JS</w:t>
      </w:r>
      <w:r w:rsidRPr="00A771D8">
        <w:t>.</w:t>
      </w:r>
    </w:p>
    <w:p w14:paraId="31CA971F" w14:textId="43E0386E" w:rsidR="00474CF3" w:rsidRPr="00D034FA" w:rsidRDefault="00C03831" w:rsidP="003C58C0">
      <w:pPr>
        <w:pStyle w:val="Heading3"/>
        <w:spacing w:line="360" w:lineRule="auto"/>
      </w:pPr>
      <w:bookmarkStart w:id="151" w:name="_Toc147242449"/>
      <w:r w:rsidRPr="00D034FA">
        <w:t>6</w:t>
      </w:r>
      <w:r w:rsidR="00474CF3" w:rsidRPr="00D034FA">
        <w:t>.2 Reserve list of projects</w:t>
      </w:r>
      <w:bookmarkEnd w:id="151"/>
    </w:p>
    <w:p w14:paraId="5861D0B1" w14:textId="42A4625F" w:rsidR="00474CF3" w:rsidRPr="00A771D8" w:rsidRDefault="00474CF3" w:rsidP="003C58C0">
      <w:pPr>
        <w:spacing w:line="360" w:lineRule="auto"/>
      </w:pPr>
      <w:r w:rsidRPr="00A771D8">
        <w:t xml:space="preserve">The Monitoring Committee can create a reserve list of applications to use the available funding at later stages of implementation. </w:t>
      </w:r>
    </w:p>
    <w:p w14:paraId="64AA83B9" w14:textId="48410B9D" w:rsidR="00961188" w:rsidRPr="00A771D8" w:rsidRDefault="00961188" w:rsidP="003C58C0">
      <w:pPr>
        <w:spacing w:line="360" w:lineRule="auto"/>
      </w:pPr>
      <w:r w:rsidRPr="00A771D8">
        <w:t xml:space="preserve">If the Monitoring Committee takes </w:t>
      </w:r>
      <w:r w:rsidR="003824DE" w:rsidRPr="00A771D8">
        <w:t>this</w:t>
      </w:r>
      <w:r w:rsidRPr="00A771D8">
        <w:t xml:space="preserve"> decision, projects from the reserve list will receive ERDF co-financing in the event of:</w:t>
      </w:r>
    </w:p>
    <w:p w14:paraId="47D8BF9E" w14:textId="394A194F" w:rsidR="002F6B09" w:rsidRPr="00A771D8" w:rsidRDefault="00474CF3" w:rsidP="003C58C0">
      <w:pPr>
        <w:pStyle w:val="ListParagraph"/>
        <w:numPr>
          <w:ilvl w:val="0"/>
          <w:numId w:val="22"/>
        </w:numPr>
        <w:spacing w:line="360" w:lineRule="auto"/>
      </w:pPr>
      <w:r w:rsidRPr="00A771D8">
        <w:t xml:space="preserve">The availability of funds </w:t>
      </w:r>
      <w:r w:rsidR="00E77056" w:rsidRPr="00A771D8">
        <w:t>from</w:t>
      </w:r>
      <w:r w:rsidRPr="00A771D8">
        <w:t xml:space="preserve"> savings made from previously approved project</w:t>
      </w:r>
      <w:r w:rsidR="007E3C7B">
        <w:t>s.</w:t>
      </w:r>
    </w:p>
    <w:p w14:paraId="61D935DB" w14:textId="6AB9B248" w:rsidR="002F6B09" w:rsidRPr="00A771D8" w:rsidRDefault="00474CF3" w:rsidP="003C58C0">
      <w:pPr>
        <w:pStyle w:val="ListParagraph"/>
        <w:numPr>
          <w:ilvl w:val="0"/>
          <w:numId w:val="22"/>
        </w:numPr>
        <w:spacing w:line="360" w:lineRule="auto"/>
      </w:pPr>
      <w:r w:rsidRPr="00A771D8">
        <w:t xml:space="preserve">Voluntary withdrawal of </w:t>
      </w:r>
      <w:r w:rsidR="00B055B2" w:rsidRPr="00A771D8">
        <w:t xml:space="preserve">an </w:t>
      </w:r>
      <w:r w:rsidRPr="00A771D8">
        <w:t>approved project</w:t>
      </w:r>
      <w:r w:rsidR="007E3C7B">
        <w:t>.</w:t>
      </w:r>
    </w:p>
    <w:p w14:paraId="23CE7DB5" w14:textId="629F4CC3" w:rsidR="00474CF3" w:rsidRPr="00A771D8" w:rsidRDefault="00474CF3" w:rsidP="003C58C0">
      <w:pPr>
        <w:pStyle w:val="ListParagraph"/>
        <w:numPr>
          <w:ilvl w:val="0"/>
          <w:numId w:val="22"/>
        </w:numPr>
        <w:spacing w:line="360" w:lineRule="auto"/>
      </w:pPr>
      <w:r w:rsidRPr="00A771D8">
        <w:t xml:space="preserve">Approved project </w:t>
      </w:r>
      <w:r w:rsidR="00E77056" w:rsidRPr="00A771D8">
        <w:t xml:space="preserve">failing </w:t>
      </w:r>
      <w:r w:rsidRPr="00A771D8">
        <w:t>to finali</w:t>
      </w:r>
      <w:r w:rsidR="004C3F0F" w:rsidRPr="00A771D8">
        <w:t>s</w:t>
      </w:r>
      <w:r w:rsidRPr="00A771D8">
        <w:t>e the clarification process within the set deadline.</w:t>
      </w:r>
    </w:p>
    <w:p w14:paraId="25558F92" w14:textId="14077099" w:rsidR="00474CF3" w:rsidRPr="00D034FA" w:rsidRDefault="00DB4FC6" w:rsidP="003C58C0">
      <w:pPr>
        <w:pStyle w:val="Heading3"/>
        <w:spacing w:line="360" w:lineRule="auto"/>
      </w:pPr>
      <w:bookmarkStart w:id="152" w:name="_Toc147242450"/>
      <w:r w:rsidRPr="00D034FA">
        <w:lastRenderedPageBreak/>
        <w:t>6</w:t>
      </w:r>
      <w:r w:rsidR="00474CF3" w:rsidRPr="00D034FA">
        <w:t>.3 Complaints</w:t>
      </w:r>
      <w:bookmarkEnd w:id="152"/>
    </w:p>
    <w:p w14:paraId="6FA24B52" w14:textId="77777777" w:rsidR="00745A9F" w:rsidRPr="00A771D8" w:rsidRDefault="00745A9F" w:rsidP="003C58C0">
      <w:pPr>
        <w:spacing w:line="360" w:lineRule="auto"/>
      </w:pPr>
      <w:r w:rsidRPr="00A771D8">
        <w:t xml:space="preserve">If the partnership does not agree with the project assessment and selection process and assumes the process of assessment and selection was not conducted in line with the assessment and selection procedures, it is entitled to submit a complaint. </w:t>
      </w:r>
    </w:p>
    <w:p w14:paraId="617159E5" w14:textId="75223227" w:rsidR="00474CF3" w:rsidRDefault="00474CF3" w:rsidP="003C58C0">
      <w:pPr>
        <w:spacing w:line="360" w:lineRule="auto"/>
      </w:pPr>
      <w:r w:rsidRPr="00A771D8">
        <w:t xml:space="preserve">The </w:t>
      </w:r>
      <w:r w:rsidR="00D45EFF" w:rsidRPr="00A771D8">
        <w:t>l</w:t>
      </w:r>
      <w:r w:rsidRPr="00A771D8">
        <w:t xml:space="preserve">ead </w:t>
      </w:r>
      <w:r w:rsidR="00D45EFF" w:rsidRPr="00A771D8">
        <w:t>a</w:t>
      </w:r>
      <w:r w:rsidRPr="00A771D8">
        <w:t xml:space="preserve">pplicant should collect </w:t>
      </w:r>
      <w:r w:rsidR="00E77056" w:rsidRPr="00A771D8">
        <w:t xml:space="preserve">the relevant </w:t>
      </w:r>
      <w:r w:rsidRPr="00A771D8">
        <w:t xml:space="preserve">information and bring forward the complaint on behalf of all project partners. The complaint </w:t>
      </w:r>
      <w:r w:rsidR="005C70B7" w:rsidRPr="00A771D8">
        <w:t>must</w:t>
      </w:r>
      <w:r w:rsidRPr="00A771D8">
        <w:t xml:space="preserve"> be completed through the</w:t>
      </w:r>
      <w:r w:rsidRPr="00A771D8">
        <w:rPr>
          <w:rFonts w:ascii="Open Sans SemiBold" w:eastAsia="Open Sans SemiBold" w:hAnsi="Open Sans SemiBold" w:cs="Open Sans SemiBold"/>
          <w:bCs/>
          <w:color w:val="003399"/>
        </w:rPr>
        <w:t xml:space="preserve"> template </w:t>
      </w:r>
      <w:r w:rsidRPr="00A771D8">
        <w:t xml:space="preserve">provided by the Programme and sent via email: </w:t>
      </w:r>
      <w:hyperlink r:id="rId43" w:history="1">
        <w:r w:rsidRPr="00D23153">
          <w:t>southbaltic@southbaltic.eu</w:t>
        </w:r>
      </w:hyperlink>
      <w:r w:rsidRPr="00D23153">
        <w:t>.</w:t>
      </w:r>
      <w:r w:rsidRPr="00A771D8">
        <w:t xml:space="preserve"> </w:t>
      </w:r>
    </w:p>
    <w:p w14:paraId="5661423E" w14:textId="0E8EB9C5" w:rsidR="00113D05" w:rsidRPr="00A771D8" w:rsidRDefault="00D23153" w:rsidP="003C58C0">
      <w:pPr>
        <w:spacing w:line="360" w:lineRule="auto"/>
      </w:pPr>
      <w:r>
        <w:rPr>
          <w:noProof/>
        </w:rPr>
        <mc:AlternateContent>
          <mc:Choice Requires="wps">
            <w:drawing>
              <wp:inline distT="0" distB="0" distL="0" distR="0" wp14:anchorId="14796641" wp14:editId="41408A1E">
                <wp:extent cx="5753100" cy="819150"/>
                <wp:effectExtent l="0" t="0" r="19050" b="19050"/>
                <wp:docPr id="527806983" name="Text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819150"/>
                        </a:xfrm>
                        <a:prstGeom prst="rect">
                          <a:avLst/>
                        </a:prstGeom>
                        <a:ln w="12700">
                          <a:solidFill>
                            <a:srgbClr val="003399"/>
                          </a:solidFill>
                          <a:prstDash val="solid"/>
                        </a:ln>
                      </wps:spPr>
                      <wps:txbx>
                        <w:txbxContent>
                          <w:p w14:paraId="7FB99B7B" w14:textId="276BFA19"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ExtraBold" w:eastAsiaTheme="minorHAnsi" w:hAnsiTheme="minorHAnsi" w:cstheme="minorBidi"/>
                                <w:b/>
                                <w:color w:val="003399"/>
                                <w:spacing w:val="-2"/>
                                <w:sz w:val="24"/>
                                <w:szCs w:val="28"/>
                                <w:lang w:eastAsia="en-US"/>
                              </w:rPr>
                              <w:t xml:space="preserve">Annex 5 </w:t>
                            </w:r>
                            <w:r w:rsidRPr="00D23153">
                              <w:rPr>
                                <w:rFonts w:ascii="Open Sans SemiBold" w:eastAsia="Open Sans SemiBold" w:hAnsi="Open Sans SemiBold" w:cs="Open Sans SemiBold"/>
                                <w:bCs/>
                                <w:color w:val="003399"/>
                                <w:sz w:val="24"/>
                                <w:lang w:eastAsia="en-US"/>
                              </w:rPr>
                              <w:t xml:space="preserve">Complaint procedure and template </w:t>
                            </w:r>
                            <w:r w:rsidRPr="00D23153">
                              <w:rPr>
                                <w:rFonts w:ascii="Open Sans" w:eastAsiaTheme="minorHAnsi" w:hAnsi="Open Sans" w:cstheme="minorBidi"/>
                                <w:color w:val="auto"/>
                                <w:sz w:val="24"/>
                                <w:szCs w:val="22"/>
                                <w:lang w:eastAsia="en-US"/>
                              </w:rPr>
                              <w:t>provides a detailed description of the complaint procedure and the form to be filled in. Please make sure to carefully read the terms of the procedure before applying.</w:t>
                            </w:r>
                          </w:p>
                        </w:txbxContent>
                      </wps:txbx>
                      <wps:bodyPr wrap="square" lIns="0" tIns="0" rIns="0" bIns="0" rtlCol="0">
                        <a:noAutofit/>
                      </wps:bodyPr>
                    </wps:wsp>
                  </a:graphicData>
                </a:graphic>
              </wp:inline>
            </w:drawing>
          </mc:Choice>
          <mc:Fallback>
            <w:pict>
              <v:shape w14:anchorId="14796641" id="_x0000_s1075" type="#_x0000_t202" style="width:453pt;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" filled="f" strokecolor="#039" strokeweight="1pt">
                <v:path arrowok="t"/>
                <v:textbox inset="0,0,0,0">
                  <w:txbxContent>
                    <w:p w14:paraId="7FB99B7B" w14:textId="276BFA19"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ExtraBold" w:eastAsiaTheme="minorHAnsi" w:hAnsiTheme="minorHAnsi" w:cstheme="minorBidi"/>
                          <w:b/>
                          <w:color w:val="003399"/>
                          <w:spacing w:val="-2"/>
                          <w:sz w:val="24"/>
                          <w:szCs w:val="28"/>
                          <w:lang w:eastAsia="en-US"/>
                        </w:rPr>
                        <w:t xml:space="preserve">Annex 5 </w:t>
                      </w:r>
                      <w:r w:rsidRPr="00D23153">
                        <w:rPr>
                          <w:rFonts w:ascii="Open Sans SemiBold" w:eastAsia="Open Sans SemiBold" w:hAnsi="Open Sans SemiBold" w:cs="Open Sans SemiBold"/>
                          <w:bCs/>
                          <w:color w:val="003399"/>
                          <w:sz w:val="24"/>
                          <w:lang w:eastAsia="en-US"/>
                        </w:rPr>
                        <w:t xml:space="preserve">Complaint procedure and template </w:t>
                      </w:r>
                      <w:r w:rsidRPr="00D23153">
                        <w:rPr>
                          <w:rFonts w:ascii="Open Sans" w:eastAsiaTheme="minorHAnsi" w:hAnsi="Open Sans" w:cstheme="minorBidi"/>
                          <w:color w:val="auto"/>
                          <w:sz w:val="24"/>
                          <w:szCs w:val="22"/>
                          <w:lang w:eastAsia="en-US"/>
                        </w:rPr>
                        <w:t>provides a detailed description of the complaint procedure and the form to be filled in. Please make sure to carefully read the terms of the procedure before applying.</w:t>
                      </w:r>
                    </w:p>
                  </w:txbxContent>
                </v:textbox>
                <w10:anchorlock/>
              </v:shape>
            </w:pict>
          </mc:Fallback>
        </mc:AlternateContent>
      </w:r>
    </w:p>
    <w:p w14:paraId="5257648E" w14:textId="6DDA6875" w:rsidR="00166F00" w:rsidRPr="00B64097" w:rsidRDefault="00166F00" w:rsidP="003C58C0">
      <w:pPr>
        <w:pStyle w:val="Heading1"/>
        <w:spacing w:line="360" w:lineRule="auto"/>
      </w:pPr>
      <w:bookmarkStart w:id="153" w:name="_Toc147242451"/>
      <w:r w:rsidRPr="00B64097">
        <w:t>VI PROJECT IMPLEMENTATION</w:t>
      </w:r>
      <w:bookmarkEnd w:id="153"/>
    </w:p>
    <w:p w14:paraId="7DB977AB" w14:textId="38785B8F" w:rsidR="00166F00" w:rsidRPr="00B64097" w:rsidRDefault="00166F00" w:rsidP="003C58C0">
      <w:pPr>
        <w:pStyle w:val="Heading2"/>
        <w:spacing w:line="360" w:lineRule="auto"/>
      </w:pPr>
      <w:bookmarkStart w:id="154" w:name="_Toc147242452"/>
      <w:r w:rsidRPr="00B64097">
        <w:t>1 FORMALISING THE ESTABLISHMENT OF THE PROJECT</w:t>
      </w:r>
      <w:bookmarkEnd w:id="154"/>
    </w:p>
    <w:p w14:paraId="2F2557A5" w14:textId="0801D96C" w:rsidR="00203784" w:rsidRPr="00203784" w:rsidRDefault="00166F00" w:rsidP="003C58C0">
      <w:pPr>
        <w:pStyle w:val="Heading3"/>
        <w:spacing w:line="360" w:lineRule="auto"/>
        <w:rPr>
          <w:rFonts w:ascii="Segoe UI" w:hAnsi="Segoe UI" w:cs="Segoe UI"/>
          <w:color w:val="1C4E6D"/>
          <w:lang w:val="en-GB"/>
        </w:rPr>
      </w:pPr>
      <w:bookmarkStart w:id="155" w:name="_Toc147242453"/>
      <w:r w:rsidRPr="00B64097">
        <w:t>1.1 Clarification process and contracting a project</w:t>
      </w:r>
      <w:bookmarkEnd w:id="155"/>
    </w:p>
    <w:p w14:paraId="65CCB94D" w14:textId="305E9FC4" w:rsidR="00203784" w:rsidRPr="00B64097" w:rsidRDefault="00203784" w:rsidP="003C58C0">
      <w:pPr>
        <w:spacing w:line="360" w:lineRule="auto"/>
      </w:pPr>
      <w:r w:rsidRPr="00B64097">
        <w:t>During the clarification process</w:t>
      </w:r>
      <w:r w:rsidR="00E77056" w:rsidRPr="00B64097">
        <w:t>,</w:t>
      </w:r>
      <w:r w:rsidRPr="00B64097">
        <w:t xml:space="preserve"> any issues and recommendations that arise during the project assessment phase are clarified and agreed with the Programme. After finali</w:t>
      </w:r>
      <w:r w:rsidR="004C3F0F" w:rsidRPr="00B64097">
        <w:t>s</w:t>
      </w:r>
      <w:r w:rsidRPr="00B64097">
        <w:t xml:space="preserve">ing amendments to the Application Form, projects are requested to confirm the work plan, the financial schedule and the correctness of the Application Form. The Subsidy Contract can only be signed if the clarification process has been formally completed. If the project fails to fulfil all assessment requirements of the Programme within the required deadlines, it may be rejected. </w:t>
      </w:r>
    </w:p>
    <w:p w14:paraId="1FA87BD0" w14:textId="2AF84FAB" w:rsidR="00203784" w:rsidRPr="00B64097" w:rsidRDefault="00203784" w:rsidP="003C58C0">
      <w:pPr>
        <w:spacing w:line="360" w:lineRule="auto"/>
      </w:pPr>
      <w:r w:rsidRPr="00B64097">
        <w:t xml:space="preserve">The clarification process should be completed within a period of 2 months from the date on which provisional approval of the project was granted by the </w:t>
      </w:r>
      <w:r w:rsidR="00922DC1" w:rsidRPr="00B64097">
        <w:t>MC</w:t>
      </w:r>
      <w:r w:rsidRPr="00B64097">
        <w:t xml:space="preserve">. The </w:t>
      </w:r>
      <w:r w:rsidRPr="00B64097">
        <w:lastRenderedPageBreak/>
        <w:t xml:space="preserve">clarification process is carried out via email while changes to the Application Form resulting from clarifications shall be introduced in the WOD2021 system by the </w:t>
      </w:r>
      <w:r w:rsidR="008122ED" w:rsidRPr="00B64097">
        <w:t>l</w:t>
      </w:r>
      <w:r w:rsidR="00D45EFF" w:rsidRPr="00B64097">
        <w:t>ead partner</w:t>
      </w:r>
      <w:r w:rsidRPr="00B64097">
        <w:t>.</w:t>
      </w:r>
      <w:r w:rsidR="00C32F77" w:rsidRPr="00B64097">
        <w:t xml:space="preserve"> </w:t>
      </w:r>
      <w:r w:rsidRPr="00B64097">
        <w:t xml:space="preserve">All the partners and the JS/MA shall put </w:t>
      </w:r>
      <w:r w:rsidR="00DD56FF" w:rsidRPr="00B64097">
        <w:t>every</w:t>
      </w:r>
      <w:r w:rsidRPr="00B64097">
        <w:t xml:space="preserve"> effort </w:t>
      </w:r>
      <w:r w:rsidR="00DD56FF" w:rsidRPr="00B64097">
        <w:t>in</w:t>
      </w:r>
      <w:r w:rsidRPr="00B64097">
        <w:t>to meet</w:t>
      </w:r>
      <w:r w:rsidR="00DD56FF" w:rsidRPr="00B64097">
        <w:t>ing</w:t>
      </w:r>
      <w:r w:rsidRPr="00B64097">
        <w:t xml:space="preserve"> the clarification deadlines. Should the </w:t>
      </w:r>
      <w:r w:rsidR="008122ED" w:rsidRPr="00B64097">
        <w:t>l</w:t>
      </w:r>
      <w:r w:rsidR="00D45EFF" w:rsidRPr="00B64097">
        <w:t>ead partner</w:t>
      </w:r>
      <w:r w:rsidRPr="00B64097">
        <w:t xml:space="preserve"> fail to meet the deadlines and/or not submit all documents necessary to sign the contract in due date, the MA may refrain from signing the Subsidy Contract.</w:t>
      </w:r>
    </w:p>
    <w:p w14:paraId="21B6A12E" w14:textId="0F2C3CCE" w:rsidR="00166F00" w:rsidRPr="00B64097" w:rsidRDefault="00166F00" w:rsidP="003C58C0">
      <w:pPr>
        <w:pStyle w:val="Heading3"/>
        <w:spacing w:line="360" w:lineRule="auto"/>
      </w:pPr>
      <w:bookmarkStart w:id="156" w:name="_Toc147242454"/>
      <w:r w:rsidRPr="00B64097">
        <w:t>1.2 Subsidy Contract</w:t>
      </w:r>
      <w:bookmarkEnd w:id="156"/>
    </w:p>
    <w:p w14:paraId="579A0E93" w14:textId="77777777" w:rsidR="00092614" w:rsidRPr="00B64097" w:rsidRDefault="00092614" w:rsidP="003C58C0">
      <w:pPr>
        <w:spacing w:line="360" w:lineRule="auto"/>
      </w:pPr>
      <w:r w:rsidRPr="00B64097">
        <w:t xml:space="preserve">The Subsidy Contract confirms the final amount of the ERDF co-financing available to the project and serves as a legal and financial framework for implementation of the project. </w:t>
      </w:r>
    </w:p>
    <w:p w14:paraId="70E67261" w14:textId="075613D0" w:rsidR="00092614" w:rsidRPr="00B64097" w:rsidRDefault="00092614" w:rsidP="003C58C0">
      <w:pPr>
        <w:spacing w:line="360" w:lineRule="auto"/>
      </w:pPr>
      <w:r w:rsidRPr="00B64097">
        <w:t xml:space="preserve">In particular, the Subsidy Contract sets out the rights and obligations of the contracting parties </w:t>
      </w:r>
      <w:r w:rsidR="00DD56FF" w:rsidRPr="00B64097">
        <w:t>regarding</w:t>
      </w:r>
      <w:r w:rsidRPr="00B64097">
        <w:t xml:space="preserve"> the terms of reimbursement of eligible expenditure, monitoring and reporting, recovery of funds, control and audit system, </w:t>
      </w:r>
      <w:r w:rsidR="00DD56FF" w:rsidRPr="00B64097">
        <w:t>and the</w:t>
      </w:r>
      <w:r w:rsidRPr="00B64097">
        <w:t xml:space="preserve"> information and publicity requirements of the project. </w:t>
      </w:r>
    </w:p>
    <w:p w14:paraId="53BED5B1" w14:textId="2A736F94" w:rsidR="00092614" w:rsidRPr="00B64097" w:rsidRDefault="00092614" w:rsidP="003C58C0">
      <w:pPr>
        <w:spacing w:line="360" w:lineRule="auto"/>
      </w:pPr>
      <w:r w:rsidRPr="00B64097">
        <w:t xml:space="preserve">The Subsidy Contract is signed off between the Polish Minister responsible for Regional Development (acting as the Managing Authority for the Programme) and the </w:t>
      </w:r>
      <w:r w:rsidR="008122ED" w:rsidRPr="00B64097">
        <w:t>l</w:t>
      </w:r>
      <w:r w:rsidR="00D45EFF" w:rsidRPr="00B64097">
        <w:t>ead partner</w:t>
      </w:r>
      <w:r w:rsidRPr="00B64097">
        <w:t xml:space="preserve"> of the approved project. A standard template of the Subsidy Contract is available </w:t>
      </w:r>
      <w:r w:rsidR="0042750E" w:rsidRPr="00B64097">
        <w:t>on</w:t>
      </w:r>
      <w:r w:rsidRPr="00B64097">
        <w:t xml:space="preserve"> the </w:t>
      </w:r>
      <w:hyperlink r:id="rId44" w:history="1">
        <w:r w:rsidR="00B64097" w:rsidRPr="00DC4ED8">
          <w:rPr>
            <w:rFonts w:ascii="Open Sans ExtraBold"/>
            <w:b/>
            <w:color w:val="003399"/>
            <w:spacing w:val="-2"/>
          </w:rPr>
          <w:t>Programme website</w:t>
        </w:r>
      </w:hyperlink>
      <w:r w:rsidRPr="00B64097">
        <w:t>.</w:t>
      </w:r>
    </w:p>
    <w:p w14:paraId="4C1803FE" w14:textId="10B60F21" w:rsidR="00092614" w:rsidRPr="00B64097" w:rsidRDefault="00092614" w:rsidP="003C58C0">
      <w:pPr>
        <w:spacing w:line="360" w:lineRule="auto"/>
      </w:pPr>
      <w:r w:rsidRPr="00B64097">
        <w:t>The Joint Secretariat prepares a</w:t>
      </w:r>
      <w:r w:rsidR="00DD56FF" w:rsidRPr="00B64097">
        <w:t>n</w:t>
      </w:r>
      <w:r w:rsidRPr="00B64097">
        <w:t xml:space="preserve"> </w:t>
      </w:r>
      <w:r w:rsidR="00DD56FF" w:rsidRPr="00B64097">
        <w:t xml:space="preserve">electronic version of the </w:t>
      </w:r>
      <w:r w:rsidRPr="00B64097">
        <w:t xml:space="preserve">draft subsidy contract for the project in English </w:t>
      </w:r>
      <w:r w:rsidR="00DD56FF" w:rsidRPr="00B64097">
        <w:t>using</w:t>
      </w:r>
      <w:r w:rsidRPr="00B64097">
        <w:t xml:space="preserve"> the template available on the </w:t>
      </w:r>
      <w:hyperlink r:id="rId45" w:history="1">
        <w:r w:rsidR="00B64097" w:rsidRPr="00DC4ED8">
          <w:rPr>
            <w:rFonts w:ascii="Open Sans ExtraBold"/>
            <w:b/>
            <w:color w:val="003399"/>
            <w:spacing w:val="-2"/>
          </w:rPr>
          <w:t>Programme website</w:t>
        </w:r>
      </w:hyperlink>
      <w:r w:rsidR="00B64097" w:rsidRPr="00B64097">
        <w:t>.</w:t>
      </w:r>
      <w:r w:rsidR="00B64097">
        <w:t xml:space="preserve"> </w:t>
      </w:r>
      <w:r w:rsidRPr="00B64097">
        <w:t xml:space="preserve">It is recommended that applicants become familiar with the content of the Subsidy Contract before applying in the call for proposals. </w:t>
      </w:r>
    </w:p>
    <w:p w14:paraId="5B18DB37" w14:textId="4DA1128E" w:rsidR="00092614" w:rsidRPr="00B64097" w:rsidRDefault="00092614" w:rsidP="003C58C0">
      <w:pPr>
        <w:spacing w:line="360" w:lineRule="auto"/>
      </w:pPr>
      <w:r w:rsidRPr="00B64097">
        <w:t xml:space="preserve">The draft of the subsidy contract is signed electronically by the MA, and then passed through the JS for electronic signature by the </w:t>
      </w:r>
      <w:r w:rsidR="008122ED" w:rsidRPr="00B64097">
        <w:t>l</w:t>
      </w:r>
      <w:r w:rsidR="00D45EFF" w:rsidRPr="00B64097">
        <w:t>ead partner</w:t>
      </w:r>
      <w:r w:rsidRPr="00B64097">
        <w:t xml:space="preserve">. Both signatures are included in one pdf document proving that electronic signatures were done correctly. </w:t>
      </w:r>
    </w:p>
    <w:p w14:paraId="639EA6BE" w14:textId="77D12985" w:rsidR="00092614" w:rsidRPr="00B64097" w:rsidRDefault="00092614" w:rsidP="003C58C0">
      <w:pPr>
        <w:spacing w:line="360" w:lineRule="auto"/>
      </w:pPr>
      <w:r w:rsidRPr="00B64097">
        <w:lastRenderedPageBreak/>
        <w:t>In exceptional cases</w:t>
      </w:r>
      <w:r w:rsidR="00DD56FF" w:rsidRPr="00B64097">
        <w:t>,</w:t>
      </w:r>
      <w:r w:rsidRPr="00B64097">
        <w:t xml:space="preserve"> it </w:t>
      </w:r>
      <w:r w:rsidR="00DD56FF" w:rsidRPr="00B64097">
        <w:t>is</w:t>
      </w:r>
      <w:r w:rsidRPr="00B64097">
        <w:t xml:space="preserve"> possible to conclude </w:t>
      </w:r>
      <w:r w:rsidR="00DD56FF" w:rsidRPr="00B64097">
        <w:t xml:space="preserve">the </w:t>
      </w:r>
      <w:r w:rsidRPr="00B64097">
        <w:t xml:space="preserve">Subsidy Contract in </w:t>
      </w:r>
      <w:r w:rsidR="00DD56FF" w:rsidRPr="00B64097">
        <w:t xml:space="preserve">the </w:t>
      </w:r>
      <w:r w:rsidRPr="00B64097">
        <w:t>traditional written form, however this must be arranged beforehand by the JS.</w:t>
      </w:r>
    </w:p>
    <w:p w14:paraId="586FB817" w14:textId="5415FBAA" w:rsidR="00092614" w:rsidRPr="00B64097" w:rsidRDefault="00092614" w:rsidP="003C58C0">
      <w:pPr>
        <w:spacing w:line="360" w:lineRule="auto"/>
      </w:pPr>
      <w:r w:rsidRPr="00B64097">
        <w:t xml:space="preserve">The Subsidy Contract enters into force on the date of signature by the </w:t>
      </w:r>
      <w:r w:rsidR="008122ED" w:rsidRPr="00B64097">
        <w:t>l</w:t>
      </w:r>
      <w:r w:rsidR="00D45EFF" w:rsidRPr="00B64097">
        <w:t>ead partner</w:t>
      </w:r>
      <w:r w:rsidRPr="00B64097">
        <w:t xml:space="preserve">. </w:t>
      </w:r>
    </w:p>
    <w:p w14:paraId="50F627DE" w14:textId="2E32BF5D" w:rsidR="00092614" w:rsidRPr="00B64097" w:rsidRDefault="00092614" w:rsidP="003C58C0">
      <w:pPr>
        <w:spacing w:line="360" w:lineRule="auto"/>
      </w:pPr>
      <w:r w:rsidRPr="00B64097">
        <w:t xml:space="preserve">Conclusion of the Subsidy Contract is recorded in the </w:t>
      </w:r>
      <w:r w:rsidR="00DD56FF" w:rsidRPr="00B64097">
        <w:t xml:space="preserve">CST2021 </w:t>
      </w:r>
      <w:r w:rsidRPr="00B64097">
        <w:t>IT system by the JS.</w:t>
      </w:r>
    </w:p>
    <w:p w14:paraId="7E88435F" w14:textId="2DFB6D5B" w:rsidR="00421C92" w:rsidRPr="00B64097" w:rsidRDefault="004261DF" w:rsidP="003C58C0">
      <w:pPr>
        <w:spacing w:line="360" w:lineRule="auto"/>
      </w:pPr>
      <w:r w:rsidRPr="00B64097">
        <w:t>For</w:t>
      </w:r>
      <w:r w:rsidR="00092614" w:rsidRPr="00B64097">
        <w:t xml:space="preserve"> Subsidy Contracts with </w:t>
      </w:r>
      <w:r w:rsidR="0000618F" w:rsidRPr="00B64097">
        <w:t>S</w:t>
      </w:r>
      <w:r w:rsidR="00092614" w:rsidRPr="00B64097">
        <w:t>tate aid</w:t>
      </w:r>
      <w:r w:rsidR="00DD56FF" w:rsidRPr="00B64097">
        <w:t>,</w:t>
      </w:r>
      <w:r w:rsidR="00092614" w:rsidRPr="00B64097">
        <w:t xml:space="preserve"> it is necessary to inform the MA immediately about the date of signing of the Subsidy Contract by the </w:t>
      </w:r>
      <w:r w:rsidR="008122ED" w:rsidRPr="00B64097">
        <w:t>l</w:t>
      </w:r>
      <w:r w:rsidR="00D45EFF" w:rsidRPr="00B64097">
        <w:t>ead partner</w:t>
      </w:r>
      <w:r w:rsidR="00092614" w:rsidRPr="00B64097">
        <w:t xml:space="preserve"> which enables the MA to notif</w:t>
      </w:r>
      <w:r w:rsidR="00DD56FF" w:rsidRPr="00B64097">
        <w:t>y the Polish Office of Competition and Consumer Protection</w:t>
      </w:r>
      <w:r w:rsidR="00092614" w:rsidRPr="00B64097">
        <w:t xml:space="preserve"> of the granted State aid/de minimis </w:t>
      </w:r>
      <w:r w:rsidR="00DD56FF" w:rsidRPr="00B64097">
        <w:t xml:space="preserve">via </w:t>
      </w:r>
      <w:r w:rsidR="00092614" w:rsidRPr="00B64097">
        <w:t xml:space="preserve">the </w:t>
      </w:r>
      <w:r w:rsidR="00DD56FF" w:rsidRPr="00B64097">
        <w:t xml:space="preserve">SHRIMP2 </w:t>
      </w:r>
      <w:r w:rsidR="00092614" w:rsidRPr="00B64097">
        <w:t xml:space="preserve">electronic system. This notification must be made within 7 days from the date of granting the aid, i.e., from the signing of the Subsidy Contract by both parties. </w:t>
      </w:r>
    </w:p>
    <w:p w14:paraId="6C467DCC" w14:textId="4502337E" w:rsidR="00421C92" w:rsidRPr="00B64097" w:rsidRDefault="00092614" w:rsidP="003C58C0">
      <w:pPr>
        <w:spacing w:line="360" w:lineRule="auto"/>
      </w:pPr>
      <w:r w:rsidRPr="00B64097">
        <w:t xml:space="preserve">On the day of signing the contract by the </w:t>
      </w:r>
      <w:r w:rsidR="008122ED" w:rsidRPr="00B64097">
        <w:t>l</w:t>
      </w:r>
      <w:r w:rsidR="00D45EFF" w:rsidRPr="00B64097">
        <w:t>ead partner</w:t>
      </w:r>
      <w:r w:rsidR="00DD56FF" w:rsidRPr="00B64097">
        <w:t>, a</w:t>
      </w:r>
      <w:r w:rsidRPr="00B64097">
        <w:t xml:space="preserve"> scan of the agreement shall be </w:t>
      </w:r>
      <w:r w:rsidR="00DD56FF" w:rsidRPr="00B64097">
        <w:t xml:space="preserve">sent </w:t>
      </w:r>
      <w:r w:rsidRPr="00B64097">
        <w:t xml:space="preserve">to the JS, and the JS immediately </w:t>
      </w:r>
      <w:r w:rsidR="00DD56FF" w:rsidRPr="00B64097">
        <w:t xml:space="preserve">forwards a copy </w:t>
      </w:r>
      <w:r w:rsidRPr="00B64097">
        <w:t xml:space="preserve">to the MA. Based on </w:t>
      </w:r>
      <w:r w:rsidR="00DD56FF" w:rsidRPr="00B64097">
        <w:t xml:space="preserve">the </w:t>
      </w:r>
      <w:r w:rsidRPr="00B64097">
        <w:t>scan of the signed Subsidy Contract</w:t>
      </w:r>
      <w:r w:rsidR="00DD56FF" w:rsidRPr="00B64097">
        <w:t>,</w:t>
      </w:r>
      <w:r w:rsidRPr="00B64097">
        <w:t xml:space="preserve"> the MA enters </w:t>
      </w:r>
      <w:r w:rsidR="00DD56FF" w:rsidRPr="00B64097">
        <w:t xml:space="preserve">the </w:t>
      </w:r>
      <w:r w:rsidRPr="00B64097">
        <w:t xml:space="preserve">relevant information into the </w:t>
      </w:r>
      <w:r w:rsidR="00DD56FF" w:rsidRPr="00B64097">
        <w:t>SHRIMP2</w:t>
      </w:r>
      <w:r w:rsidRPr="00B64097">
        <w:t>electronic system</w:t>
      </w:r>
      <w:r w:rsidR="00557128">
        <w:rPr>
          <w:rStyle w:val="FootnoteReference"/>
          <w:rFonts w:eastAsia="Open Sans" w:cs="Open Sans"/>
          <w:sz w:val="20"/>
          <w:szCs w:val="20"/>
        </w:rPr>
        <w:footnoteReference w:id="49"/>
      </w:r>
      <w:r w:rsidRPr="00B64097">
        <w:t xml:space="preserve"> and, </w:t>
      </w:r>
      <w:r w:rsidR="004261DF" w:rsidRPr="00B64097">
        <w:t>for</w:t>
      </w:r>
      <w:r w:rsidRPr="00B64097">
        <w:t xml:space="preserve"> de minimis aid, issues a certificate of the granted de minimis aid in 2 counterparts. </w:t>
      </w:r>
    </w:p>
    <w:p w14:paraId="08BAA0CF" w14:textId="1E12A8E5" w:rsidR="0042750E" w:rsidRPr="00B64097" w:rsidRDefault="00092614" w:rsidP="003C58C0">
      <w:pPr>
        <w:spacing w:line="360" w:lineRule="auto"/>
      </w:pPr>
      <w:r w:rsidRPr="00B64097">
        <w:t xml:space="preserve">One copy of the certificate issued on the granted de minimis aid is passed to the relevant </w:t>
      </w:r>
      <w:r w:rsidR="008122ED" w:rsidRPr="00B64097">
        <w:t>p</w:t>
      </w:r>
      <w:r w:rsidRPr="00B64097">
        <w:t xml:space="preserve">artner and </w:t>
      </w:r>
      <w:r w:rsidR="00AC4850" w:rsidRPr="00B64097">
        <w:t xml:space="preserve">the other </w:t>
      </w:r>
      <w:r w:rsidRPr="00B64097">
        <w:t xml:space="preserve">remains in the project file at the MA. If the amount of de minimis aid is reduced or the amount of the actually used de </w:t>
      </w:r>
      <w:r w:rsidRPr="00B64097">
        <w:lastRenderedPageBreak/>
        <w:t xml:space="preserve">minimis aid is lower than </w:t>
      </w:r>
      <w:r w:rsidR="00AC4850" w:rsidRPr="00B64097">
        <w:t xml:space="preserve">that </w:t>
      </w:r>
      <w:r w:rsidRPr="00B64097">
        <w:t xml:space="preserve">originally </w:t>
      </w:r>
      <w:r w:rsidR="00AC4850" w:rsidRPr="00B64097">
        <w:t xml:space="preserve">granted </w:t>
      </w:r>
      <w:r w:rsidRPr="00B64097">
        <w:t>in the Subsidy Contract, the MA will issue a corrected certificate on the granted de minimis aid. I</w:t>
      </w:r>
      <w:r w:rsidR="00AC4850" w:rsidRPr="00B64097">
        <w:t>f</w:t>
      </w:r>
      <w:r w:rsidRPr="00B64097">
        <w:t xml:space="preserve"> the amount of de minimis aid is increased, the MA will issue a new certificate for the amount of the increase within 7 days from the date of granting</w:t>
      </w:r>
      <w:r w:rsidR="00AC4850" w:rsidRPr="00B64097">
        <w:t xml:space="preserve"> the</w:t>
      </w:r>
      <w:r w:rsidRPr="00B64097">
        <w:t xml:space="preserve"> de minimis aid.</w:t>
      </w:r>
      <w:r w:rsidR="00C32F77" w:rsidRPr="00B64097">
        <w:t xml:space="preserve"> </w:t>
      </w:r>
      <w:r w:rsidRPr="00B64097">
        <w:t xml:space="preserve">Please note that increasing </w:t>
      </w:r>
      <w:r w:rsidR="00AC4850" w:rsidRPr="00B64097">
        <w:t xml:space="preserve">the </w:t>
      </w:r>
      <w:r w:rsidRPr="00B64097">
        <w:t>de minimis aid requires signing an annex to the Subsidy Contract beforehand; the de minimis aid cannot be increased by the partners themselves.</w:t>
      </w:r>
    </w:p>
    <w:p w14:paraId="15EAEF2E" w14:textId="6754EB33" w:rsidR="00092614" w:rsidRPr="00B64097" w:rsidRDefault="00092614" w:rsidP="003C58C0">
      <w:pPr>
        <w:spacing w:line="360" w:lineRule="auto"/>
      </w:pPr>
      <w:r w:rsidRPr="00B64097">
        <w:t xml:space="preserve">In some </w:t>
      </w:r>
      <w:r w:rsidR="00135EC2" w:rsidRPr="00B64097">
        <w:t>cases,</w:t>
      </w:r>
      <w:r w:rsidRPr="00B64097">
        <w:t xml:space="preserve"> changes to the project may require the Subsidy Contract to be amended. </w:t>
      </w:r>
      <w:r w:rsidR="0042750E" w:rsidRPr="00B64097">
        <w:t>The d</w:t>
      </w:r>
      <w:r w:rsidRPr="00B64097">
        <w:t xml:space="preserve">etailed information on changes to the project is described in </w:t>
      </w:r>
      <w:r w:rsidR="0042750E" w:rsidRPr="00B64097">
        <w:t>Chapter VI,</w:t>
      </w:r>
      <w:r w:rsidR="00314607" w:rsidRPr="00B64097">
        <w:t xml:space="preserve"> </w:t>
      </w:r>
      <w:r w:rsidR="0042750E" w:rsidRPr="00B64097">
        <w:t>Section 4</w:t>
      </w:r>
      <w:r w:rsidRPr="00B64097">
        <w:t xml:space="preserve"> Changes during the project implementation.</w:t>
      </w:r>
      <w:r w:rsidRPr="00B64097" w:rsidDel="00EC3812">
        <w:t xml:space="preserve"> </w:t>
      </w:r>
    </w:p>
    <w:p w14:paraId="765214CF" w14:textId="4AA0C76B" w:rsidR="00166F00" w:rsidRPr="00B64097" w:rsidRDefault="00166F00" w:rsidP="003C58C0">
      <w:pPr>
        <w:pStyle w:val="Heading3"/>
        <w:spacing w:line="360" w:lineRule="auto"/>
      </w:pPr>
      <w:bookmarkStart w:id="157" w:name="_Toc147242455"/>
      <w:r w:rsidRPr="00B64097">
        <w:t>1.3 Partnership Agreement</w:t>
      </w:r>
      <w:bookmarkEnd w:id="157"/>
    </w:p>
    <w:p w14:paraId="68479F48" w14:textId="0B55E9B1" w:rsidR="00745A9F" w:rsidRPr="00D23153" w:rsidRDefault="00745A9F" w:rsidP="003C58C0">
      <w:pPr>
        <w:pStyle w:val="BodyText"/>
        <w:spacing w:line="360" w:lineRule="auto"/>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 xml:space="preserve">The Partnership Agreement sets out the liabilities and rights of the </w:t>
      </w:r>
      <w:r w:rsidR="008122ED" w:rsidRPr="00D23153">
        <w:rPr>
          <w:rFonts w:ascii="Open Sans" w:eastAsiaTheme="minorHAnsi" w:hAnsi="Open Sans" w:cstheme="minorBidi"/>
          <w:color w:val="auto"/>
          <w:sz w:val="24"/>
          <w:szCs w:val="22"/>
          <w:lang w:eastAsia="en-US"/>
        </w:rPr>
        <w:t>l</w:t>
      </w:r>
      <w:r w:rsidR="00D45EFF" w:rsidRPr="00D23153">
        <w:rPr>
          <w:rFonts w:ascii="Open Sans" w:eastAsiaTheme="minorHAnsi" w:hAnsi="Open Sans" w:cstheme="minorBidi"/>
          <w:color w:val="auto"/>
          <w:sz w:val="24"/>
          <w:szCs w:val="22"/>
          <w:lang w:eastAsia="en-US"/>
        </w:rPr>
        <w:t>ead partner</w:t>
      </w:r>
      <w:r w:rsidRPr="00D23153">
        <w:rPr>
          <w:rFonts w:ascii="Open Sans" w:eastAsiaTheme="minorHAnsi" w:hAnsi="Open Sans" w:cstheme="minorBidi"/>
          <w:color w:val="auto"/>
          <w:sz w:val="24"/>
          <w:szCs w:val="22"/>
          <w:lang w:eastAsia="en-US"/>
        </w:rPr>
        <w:t xml:space="preserve"> and the project partners with regard to project implementation, allowing the </w:t>
      </w:r>
      <w:r w:rsidR="008122ED" w:rsidRPr="00D23153">
        <w:rPr>
          <w:rFonts w:ascii="Open Sans" w:eastAsiaTheme="minorHAnsi" w:hAnsi="Open Sans" w:cstheme="minorBidi"/>
          <w:color w:val="auto"/>
          <w:sz w:val="24"/>
          <w:szCs w:val="22"/>
          <w:lang w:eastAsia="en-US"/>
        </w:rPr>
        <w:t>l</w:t>
      </w:r>
      <w:r w:rsidR="00D45EFF" w:rsidRPr="00D23153">
        <w:rPr>
          <w:rFonts w:ascii="Open Sans" w:eastAsiaTheme="minorHAnsi" w:hAnsi="Open Sans" w:cstheme="minorBidi"/>
          <w:color w:val="auto"/>
          <w:sz w:val="24"/>
          <w:szCs w:val="22"/>
          <w:lang w:eastAsia="en-US"/>
        </w:rPr>
        <w:t>ead partner</w:t>
      </w:r>
      <w:r w:rsidRPr="00D23153">
        <w:rPr>
          <w:rFonts w:ascii="Open Sans" w:eastAsiaTheme="minorHAnsi" w:hAnsi="Open Sans" w:cstheme="minorBidi"/>
          <w:color w:val="auto"/>
          <w:sz w:val="24"/>
          <w:szCs w:val="22"/>
          <w:lang w:eastAsia="en-US"/>
        </w:rPr>
        <w:t xml:space="preserve"> to extend the arrangements of the Subsidy Contract to the partner level. A template of the Partnership Agreement that includes mandatory clauses is available on the </w:t>
      </w:r>
      <w:hyperlink r:id="rId46" w:history="1">
        <w:r w:rsidR="00D23153" w:rsidRPr="00D23153">
          <w:rPr>
            <w:rFonts w:ascii="Open Sans ExtraBold" w:eastAsia="Open Sans" w:hAnsi="Open Sans" w:cs="Open Sans"/>
            <w:b/>
            <w:color w:val="003399"/>
            <w:spacing w:val="-2"/>
            <w:sz w:val="24"/>
          </w:rPr>
          <w:t>Programme website</w:t>
        </w:r>
      </w:hyperlink>
      <w:r w:rsidR="00B64097" w:rsidRPr="00D23153">
        <w:rPr>
          <w:rFonts w:ascii="Open Sans" w:eastAsiaTheme="minorHAnsi" w:hAnsi="Open Sans" w:cstheme="minorBidi"/>
          <w:color w:val="auto"/>
          <w:sz w:val="24"/>
          <w:szCs w:val="22"/>
          <w:lang w:eastAsia="en-US"/>
        </w:rPr>
        <w:t>.</w:t>
      </w:r>
    </w:p>
    <w:p w14:paraId="1EB68066" w14:textId="0DC924DF" w:rsidR="00745A9F" w:rsidRPr="00D23153" w:rsidRDefault="00745A9F" w:rsidP="003C58C0">
      <w:pPr>
        <w:pStyle w:val="BodyText"/>
        <w:spacing w:line="360" w:lineRule="auto"/>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 xml:space="preserve">Depending on the project, the overall structure and content of the Partnership Agreement can be altered by the project with the exception of the mandatory clauses. It is recommended to have </w:t>
      </w:r>
      <w:r w:rsidR="00D13400" w:rsidRPr="00D23153">
        <w:rPr>
          <w:rFonts w:ascii="Open Sans" w:eastAsiaTheme="minorHAnsi" w:hAnsi="Open Sans" w:cstheme="minorBidi"/>
          <w:color w:val="auto"/>
          <w:sz w:val="24"/>
          <w:szCs w:val="22"/>
          <w:lang w:eastAsia="en-US"/>
        </w:rPr>
        <w:t>one Partnership</w:t>
      </w:r>
      <w:r w:rsidRPr="00D23153">
        <w:rPr>
          <w:rFonts w:ascii="Open Sans" w:eastAsiaTheme="minorHAnsi" w:hAnsi="Open Sans" w:cstheme="minorBidi"/>
          <w:color w:val="auto"/>
          <w:sz w:val="24"/>
          <w:szCs w:val="22"/>
          <w:lang w:eastAsia="en-US"/>
        </w:rPr>
        <w:t xml:space="preserve"> Agreement signed off by all project partners. </w:t>
      </w:r>
    </w:p>
    <w:p w14:paraId="5A688A77" w14:textId="3B1DC7BA" w:rsidR="00745A9F" w:rsidRPr="00D23153" w:rsidRDefault="00AC4850" w:rsidP="003C58C0">
      <w:pPr>
        <w:pStyle w:val="BodyText"/>
        <w:spacing w:line="360" w:lineRule="auto"/>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To</w:t>
      </w:r>
      <w:r w:rsidR="00745A9F" w:rsidRPr="00D23153">
        <w:rPr>
          <w:rFonts w:ascii="Open Sans" w:eastAsiaTheme="minorHAnsi" w:hAnsi="Open Sans" w:cstheme="minorBidi"/>
          <w:color w:val="auto"/>
          <w:sz w:val="24"/>
          <w:szCs w:val="22"/>
          <w:lang w:eastAsia="en-US"/>
        </w:rPr>
        <w:t xml:space="preserve"> avoid any potential delays in the project start</w:t>
      </w:r>
      <w:r w:rsidRPr="00D23153">
        <w:rPr>
          <w:rFonts w:ascii="Open Sans" w:eastAsiaTheme="minorHAnsi" w:hAnsi="Open Sans" w:cstheme="minorBidi"/>
          <w:color w:val="auto"/>
          <w:sz w:val="24"/>
          <w:szCs w:val="22"/>
          <w:lang w:eastAsia="en-US"/>
        </w:rPr>
        <w:t>,</w:t>
      </w:r>
      <w:r w:rsidR="00745A9F" w:rsidRPr="00D23153">
        <w:rPr>
          <w:rFonts w:ascii="Open Sans" w:eastAsiaTheme="minorHAnsi" w:hAnsi="Open Sans" w:cstheme="minorBidi"/>
          <w:color w:val="auto"/>
          <w:sz w:val="24"/>
          <w:szCs w:val="22"/>
          <w:lang w:eastAsia="en-US"/>
        </w:rPr>
        <w:t xml:space="preserve"> it is recommended that the preparation and signing off the Partnership Agreement is undertaken in parallel to signing off the Subsidy Contract. It </w:t>
      </w:r>
      <w:r w:rsidR="00A47A87" w:rsidRPr="00D23153">
        <w:rPr>
          <w:rFonts w:ascii="Open Sans" w:eastAsiaTheme="minorHAnsi" w:hAnsi="Open Sans" w:cstheme="minorBidi"/>
          <w:color w:val="auto"/>
          <w:sz w:val="24"/>
          <w:szCs w:val="22"/>
          <w:lang w:eastAsia="en-US"/>
        </w:rPr>
        <w:t>must</w:t>
      </w:r>
      <w:r w:rsidR="00745A9F" w:rsidRPr="00D23153">
        <w:rPr>
          <w:rFonts w:ascii="Open Sans" w:eastAsiaTheme="minorHAnsi" w:hAnsi="Open Sans" w:cstheme="minorBidi"/>
          <w:color w:val="auto"/>
          <w:sz w:val="24"/>
          <w:szCs w:val="22"/>
          <w:lang w:eastAsia="en-US"/>
        </w:rPr>
        <w:t xml:space="preserve"> be attached to the first partner progress report (see </w:t>
      </w:r>
      <w:r w:rsidR="00135EC2" w:rsidRPr="00D23153">
        <w:rPr>
          <w:rFonts w:ascii="Open Sans" w:eastAsiaTheme="minorHAnsi" w:hAnsi="Open Sans" w:cstheme="minorBidi"/>
          <w:color w:val="auto"/>
          <w:sz w:val="24"/>
          <w:szCs w:val="22"/>
          <w:lang w:eastAsia="en-US"/>
        </w:rPr>
        <w:t>Chapter VI, Section 5, Sub-section 5.1. General Principles).</w:t>
      </w:r>
      <w:r w:rsidR="00745A9F" w:rsidRPr="00D23153">
        <w:rPr>
          <w:rFonts w:ascii="Open Sans" w:eastAsiaTheme="minorHAnsi" w:hAnsi="Open Sans" w:cstheme="minorBidi"/>
          <w:color w:val="auto"/>
          <w:sz w:val="24"/>
          <w:szCs w:val="22"/>
          <w:lang w:eastAsia="en-US"/>
        </w:rPr>
        <w:t xml:space="preserve"> </w:t>
      </w:r>
    </w:p>
    <w:p w14:paraId="7794E705" w14:textId="77777777" w:rsidR="00745A9F" w:rsidRPr="00D23153" w:rsidRDefault="00745A9F" w:rsidP="003C58C0">
      <w:pPr>
        <w:pStyle w:val="BodyText"/>
        <w:spacing w:line="360" w:lineRule="auto"/>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In particular, the following areas should be set out in and covered by the Partnership Agreements:</w:t>
      </w:r>
    </w:p>
    <w:p w14:paraId="76C3D3C9" w14:textId="712EA8A9" w:rsidR="00745A9F" w:rsidRPr="00B64097" w:rsidRDefault="007E3C7B" w:rsidP="003C58C0">
      <w:pPr>
        <w:pStyle w:val="ListParagraph"/>
        <w:numPr>
          <w:ilvl w:val="0"/>
          <w:numId w:val="22"/>
        </w:numPr>
        <w:spacing w:line="360" w:lineRule="auto"/>
      </w:pPr>
      <w:r>
        <w:lastRenderedPageBreak/>
        <w:t>A</w:t>
      </w:r>
      <w:r w:rsidR="00745A9F" w:rsidRPr="00B64097">
        <w:t>ctivities of each partner during project implementation</w:t>
      </w:r>
      <w:r>
        <w:t>.</w:t>
      </w:r>
    </w:p>
    <w:p w14:paraId="3F436E9D" w14:textId="26093FA7" w:rsidR="00745A9F" w:rsidRPr="00B64097" w:rsidRDefault="007E3C7B" w:rsidP="003C58C0">
      <w:pPr>
        <w:pStyle w:val="ListParagraph"/>
        <w:numPr>
          <w:ilvl w:val="0"/>
          <w:numId w:val="22"/>
        </w:numPr>
        <w:spacing w:line="360" w:lineRule="auto"/>
      </w:pPr>
      <w:r>
        <w:t>O</w:t>
      </w:r>
      <w:r w:rsidR="00745A9F" w:rsidRPr="00B64097">
        <w:t>bligations of each partner during project implementation</w:t>
      </w:r>
      <w:r>
        <w:t>.</w:t>
      </w:r>
    </w:p>
    <w:p w14:paraId="3740AD5E" w14:textId="4BDB9EA4" w:rsidR="00745A9F" w:rsidRPr="00B64097" w:rsidRDefault="007E3C7B" w:rsidP="003C58C0">
      <w:pPr>
        <w:pStyle w:val="ListParagraph"/>
        <w:numPr>
          <w:ilvl w:val="0"/>
          <w:numId w:val="22"/>
        </w:numPr>
        <w:spacing w:line="360" w:lineRule="auto"/>
      </w:pPr>
      <w:r>
        <w:t>P</w:t>
      </w:r>
      <w:r w:rsidR="00745A9F" w:rsidRPr="00B64097">
        <w:t xml:space="preserve">artner budget (including budget per work package and </w:t>
      </w:r>
      <w:r w:rsidR="00DF47E0" w:rsidRPr="00B64097">
        <w:t>cost categories</w:t>
      </w:r>
      <w:r w:rsidR="00745A9F" w:rsidRPr="00B64097">
        <w:t>)</w:t>
      </w:r>
      <w:r>
        <w:t>.</w:t>
      </w:r>
    </w:p>
    <w:p w14:paraId="35EBB701" w14:textId="4DF466E8" w:rsidR="00745A9F" w:rsidRPr="00B64097" w:rsidRDefault="007E3C7B" w:rsidP="003C58C0">
      <w:pPr>
        <w:pStyle w:val="ListParagraph"/>
        <w:numPr>
          <w:ilvl w:val="0"/>
          <w:numId w:val="22"/>
        </w:numPr>
        <w:spacing w:line="360" w:lineRule="auto"/>
      </w:pPr>
      <w:r>
        <w:t>F</w:t>
      </w:r>
      <w:r w:rsidR="00745A9F" w:rsidRPr="00B64097">
        <w:t xml:space="preserve">inancial management provisions (accounting, reporting, financial control, ERDF payments, handling of bank fees related to the ERDF reimbursement from the </w:t>
      </w:r>
      <w:r w:rsidR="008122ED" w:rsidRPr="00B64097">
        <w:t>l</w:t>
      </w:r>
      <w:r w:rsidR="00D45EFF" w:rsidRPr="00B64097">
        <w:t>ead partner</w:t>
      </w:r>
      <w:r w:rsidR="00745A9F" w:rsidRPr="00B64097">
        <w:t xml:space="preserve"> to project partners)</w:t>
      </w:r>
      <w:r w:rsidR="00AA1FDE">
        <w:t>.</w:t>
      </w:r>
    </w:p>
    <w:p w14:paraId="2D0F9997" w14:textId="4361E387" w:rsidR="00745A9F" w:rsidRPr="00B64097" w:rsidRDefault="007E3C7B" w:rsidP="003C58C0">
      <w:pPr>
        <w:pStyle w:val="ListParagraph"/>
        <w:numPr>
          <w:ilvl w:val="0"/>
          <w:numId w:val="22"/>
        </w:numPr>
        <w:spacing w:line="360" w:lineRule="auto"/>
      </w:pPr>
      <w:r>
        <w:t>P</w:t>
      </w:r>
      <w:r w:rsidR="00745A9F" w:rsidRPr="00B64097">
        <w:t>rovisions for the recovery of funds (</w:t>
      </w:r>
      <w:r w:rsidR="004261DF" w:rsidRPr="00B64097">
        <w:t>for</w:t>
      </w:r>
      <w:r w:rsidR="00745A9F" w:rsidRPr="00B64097">
        <w:t xml:space="preserve"> amounts incorrectly reported or received), in particular, provisions for handling financial corrections, if imposed</w:t>
      </w:r>
      <w:r>
        <w:t>.</w:t>
      </w:r>
    </w:p>
    <w:p w14:paraId="6687D64D" w14:textId="186F28FD" w:rsidR="00745A9F" w:rsidRPr="00B64097" w:rsidRDefault="007E3C7B" w:rsidP="003C58C0">
      <w:pPr>
        <w:pStyle w:val="ListParagraph"/>
        <w:numPr>
          <w:ilvl w:val="0"/>
          <w:numId w:val="22"/>
        </w:numPr>
        <w:spacing w:line="360" w:lineRule="auto"/>
      </w:pPr>
      <w:r>
        <w:t>O</w:t>
      </w:r>
      <w:r w:rsidR="00745A9F" w:rsidRPr="00B64097">
        <w:t xml:space="preserve">bligation to store </w:t>
      </w:r>
      <w:r w:rsidR="00D4759C" w:rsidRPr="00B64097">
        <w:t>project-</w:t>
      </w:r>
      <w:r w:rsidR="00745A9F" w:rsidRPr="00B64097">
        <w:t>related data and documents in a safe and proper manner during the period set forth in the subsidy contract</w:t>
      </w:r>
      <w:r>
        <w:t>.</w:t>
      </w:r>
    </w:p>
    <w:p w14:paraId="32011AB9" w14:textId="662E4A9C" w:rsidR="00745A9F" w:rsidRDefault="007E3C7B" w:rsidP="003C58C0">
      <w:pPr>
        <w:pStyle w:val="ListParagraph"/>
        <w:numPr>
          <w:ilvl w:val="0"/>
          <w:numId w:val="22"/>
        </w:numPr>
        <w:spacing w:line="360" w:lineRule="auto"/>
      </w:pPr>
      <w:r>
        <w:t>I</w:t>
      </w:r>
      <w:r w:rsidR="00745A9F" w:rsidRPr="00B64097">
        <w:t>nformation and publicity requirements and responsibilities.</w:t>
      </w:r>
    </w:p>
    <w:p w14:paraId="5A68245B" w14:textId="6EDC36DC" w:rsidR="004676B1" w:rsidRDefault="0060298F" w:rsidP="003C58C0">
      <w:pPr>
        <w:spacing w:line="360" w:lineRule="auto"/>
        <w:rPr>
          <w:rFonts w:eastAsia="Open Sans" w:cs="Open Sans"/>
          <w:sz w:val="20"/>
          <w:szCs w:val="20"/>
        </w:rPr>
      </w:pPr>
      <w:r>
        <w:rPr>
          <w:noProof/>
        </w:rPr>
        <mc:AlternateContent>
          <mc:Choice Requires="wps">
            <w:drawing>
              <wp:inline distT="0" distB="0" distL="0" distR="0" wp14:anchorId="4F2E4CDC" wp14:editId="3E4784D7">
                <wp:extent cx="5772150" cy="1133475"/>
                <wp:effectExtent l="0" t="0" r="19050" b="28575"/>
                <wp:docPr id="773983056"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133475"/>
                        </a:xfrm>
                        <a:prstGeom prst="rect">
                          <a:avLst/>
                        </a:prstGeom>
                        <a:ln w="12700">
                          <a:solidFill>
                            <a:srgbClr val="003399"/>
                          </a:solidFill>
                          <a:prstDash val="solid"/>
                        </a:ln>
                      </wps:spPr>
                      <wps:txbx>
                        <w:txbxContent>
                          <w:p w14:paraId="4E331080" w14:textId="77777777" w:rsidR="0060298F" w:rsidRPr="00D23153" w:rsidRDefault="0060298F" w:rsidP="0060298F">
                            <w:pPr>
                              <w:pStyle w:val="BodyText"/>
                              <w:rPr>
                                <w:rFonts w:ascii="Open Sans ExtraBold" w:eastAsiaTheme="minorHAnsi" w:hAnsiTheme="minorHAnsi" w:cstheme="minorBidi"/>
                                <w:b/>
                                <w:color w:val="003399"/>
                                <w:spacing w:val="-2"/>
                                <w:sz w:val="24"/>
                                <w:szCs w:val="28"/>
                                <w:lang w:eastAsia="en-US"/>
                              </w:rPr>
                            </w:pPr>
                            <w:r w:rsidRPr="00D23153">
                              <w:rPr>
                                <w:rFonts w:ascii="Open Sans ExtraBold" w:eastAsiaTheme="minorHAnsi" w:hAnsiTheme="minorHAnsi" w:cstheme="minorBidi"/>
                                <w:b/>
                                <w:color w:val="003399"/>
                                <w:spacing w:val="-2"/>
                                <w:sz w:val="24"/>
                                <w:szCs w:val="28"/>
                                <w:lang w:eastAsia="en-US"/>
                              </w:rPr>
                              <w:t xml:space="preserve">Note: </w:t>
                            </w:r>
                          </w:p>
                          <w:p w14:paraId="180CE6F4" w14:textId="77777777" w:rsidR="0060298F" w:rsidRPr="00D23153" w:rsidRDefault="0060298F" w:rsidP="0060298F">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The project partners can start implementing their activities before signing the Partnership Agreement. The costs of those activities are eligible and can be reported in the first reporting period.</w:t>
                            </w:r>
                          </w:p>
                        </w:txbxContent>
                      </wps:txbx>
                      <wps:bodyPr wrap="square" lIns="0" tIns="0" rIns="0" bIns="0" rtlCol="0">
                        <a:noAutofit/>
                      </wps:bodyPr>
                    </wps:wsp>
                  </a:graphicData>
                </a:graphic>
              </wp:inline>
            </w:drawing>
          </mc:Choice>
          <mc:Fallback>
            <w:pict>
              <v:shape w14:anchorId="4F2E4CDC" id="_x0000_s1076" type="#_x0000_t202" style="width:454.5pt;height:8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" filled="f" strokecolor="#039" strokeweight="1pt">
                <v:path arrowok="t"/>
                <v:textbox inset="0,0,0,0">
                  <w:txbxContent>
                    <w:p w14:paraId="4E331080" w14:textId="77777777" w:rsidR="0060298F" w:rsidRPr="00D23153" w:rsidRDefault="0060298F" w:rsidP="0060298F">
                      <w:pPr>
                        <w:pStyle w:val="BodyText"/>
                        <w:rPr>
                          <w:rFonts w:ascii="Open Sans ExtraBold" w:eastAsiaTheme="minorHAnsi" w:hAnsiTheme="minorHAnsi" w:cstheme="minorBidi"/>
                          <w:b/>
                          <w:color w:val="003399"/>
                          <w:spacing w:val="-2"/>
                          <w:sz w:val="24"/>
                          <w:szCs w:val="28"/>
                          <w:lang w:eastAsia="en-US"/>
                        </w:rPr>
                      </w:pPr>
                      <w:r w:rsidRPr="00D23153">
                        <w:rPr>
                          <w:rFonts w:ascii="Open Sans ExtraBold" w:eastAsiaTheme="minorHAnsi" w:hAnsiTheme="minorHAnsi" w:cstheme="minorBidi"/>
                          <w:b/>
                          <w:color w:val="003399"/>
                          <w:spacing w:val="-2"/>
                          <w:sz w:val="24"/>
                          <w:szCs w:val="28"/>
                          <w:lang w:eastAsia="en-US"/>
                        </w:rPr>
                        <w:t xml:space="preserve">Note: </w:t>
                      </w:r>
                    </w:p>
                    <w:p w14:paraId="180CE6F4" w14:textId="77777777" w:rsidR="0060298F" w:rsidRPr="00D23153" w:rsidRDefault="0060298F" w:rsidP="0060298F">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The project partners can start implementing their activities before signing the Partnership Agreement. The costs of those activities are eligible and can be reported in the first reporting period.</w:t>
                      </w:r>
                    </w:p>
                  </w:txbxContent>
                </v:textbox>
                <w10:anchorlock/>
              </v:shape>
            </w:pict>
          </mc:Fallback>
        </mc:AlternateContent>
      </w:r>
    </w:p>
    <w:p w14:paraId="45F544C2" w14:textId="0A378A78" w:rsidR="00166F00" w:rsidRPr="008B78CB" w:rsidRDefault="00166F00" w:rsidP="003C58C0">
      <w:pPr>
        <w:pStyle w:val="Heading2"/>
        <w:spacing w:line="360" w:lineRule="auto"/>
      </w:pPr>
      <w:bookmarkStart w:id="158" w:name="_Toc147242456"/>
      <w:r w:rsidRPr="008B78CB">
        <w:t xml:space="preserve">2 USE OF </w:t>
      </w:r>
      <w:r w:rsidR="00D4759C" w:rsidRPr="008B78CB">
        <w:t xml:space="preserve">THE </w:t>
      </w:r>
      <w:r w:rsidRPr="008B78CB">
        <w:t>EURO</w:t>
      </w:r>
      <w:bookmarkEnd w:id="158"/>
    </w:p>
    <w:p w14:paraId="0608ED18" w14:textId="6B95083E" w:rsidR="00D13400" w:rsidRPr="008B78CB" w:rsidRDefault="00D13400" w:rsidP="003C58C0">
      <w:pPr>
        <w:spacing w:line="360" w:lineRule="auto"/>
      </w:pPr>
      <w:r w:rsidRPr="008B78CB">
        <w:t xml:space="preserve">The official currency of the South Baltic Programme is </w:t>
      </w:r>
      <w:r w:rsidR="00D4759C" w:rsidRPr="008B78CB">
        <w:t xml:space="preserve">the </w:t>
      </w:r>
      <w:r w:rsidRPr="008B78CB">
        <w:t xml:space="preserve">euro. All amounts detailed in the Subsidy Contracts and progress reports must be calculated and presented in Euro. </w:t>
      </w:r>
    </w:p>
    <w:p w14:paraId="1F7C7382" w14:textId="27B695B9" w:rsidR="00D13400" w:rsidRDefault="00D13400" w:rsidP="003C58C0">
      <w:pPr>
        <w:spacing w:line="360" w:lineRule="auto"/>
      </w:pPr>
      <w:r w:rsidRPr="008B78CB">
        <w:t xml:space="preserve">The expenditure incurred in another currency must be converted into Euro by each partner coming from countries </w:t>
      </w:r>
      <w:r w:rsidR="00D4759C" w:rsidRPr="008B78CB">
        <w:t xml:space="preserve">that </w:t>
      </w:r>
      <w:r w:rsidRPr="008B78CB">
        <w:t xml:space="preserve">have not adopted the Euro as their currency using the monthly accounting exchange rate of the Commission in the </w:t>
      </w:r>
      <w:r w:rsidRPr="008B78CB">
        <w:lastRenderedPageBreak/>
        <w:t>month during which the expenditure was submitted for verification to the First Level controller.</w:t>
      </w:r>
      <w:r w:rsidR="00557128">
        <w:rPr>
          <w:rStyle w:val="FootnoteReference"/>
          <w:rFonts w:eastAsia="Open Sans" w:cs="Open Sans"/>
          <w:sz w:val="20"/>
          <w:szCs w:val="20"/>
        </w:rPr>
        <w:footnoteReference w:id="50"/>
      </w:r>
    </w:p>
    <w:p w14:paraId="383C8441" w14:textId="41B2DCB5" w:rsidR="008B78CB" w:rsidRPr="008B78CB" w:rsidRDefault="00D23153" w:rsidP="003C58C0">
      <w:pPr>
        <w:spacing w:line="360" w:lineRule="auto"/>
      </w:pPr>
      <w:r>
        <w:rPr>
          <w:noProof/>
        </w:rPr>
        <mc:AlternateContent>
          <mc:Choice Requires="wps">
            <w:drawing>
              <wp:inline distT="0" distB="0" distL="0" distR="0" wp14:anchorId="05C9EDC4" wp14:editId="77FAB853">
                <wp:extent cx="5772150" cy="942975"/>
                <wp:effectExtent l="0" t="0" r="19050" b="28575"/>
                <wp:docPr id="7903168"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942975"/>
                        </a:xfrm>
                        <a:prstGeom prst="rect">
                          <a:avLst/>
                        </a:prstGeom>
                        <a:ln w="12700">
                          <a:solidFill>
                            <a:srgbClr val="003399"/>
                          </a:solidFill>
                          <a:prstDash val="solid"/>
                        </a:ln>
                      </wps:spPr>
                      <wps:txbx>
                        <w:txbxContent>
                          <w:p w14:paraId="42F7F99B" w14:textId="77777777"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Official monthly exchange rate can be found at:</w:t>
                            </w:r>
                          </w:p>
                          <w:p w14:paraId="3E2F8FF7" w14:textId="77777777" w:rsidR="00D23153" w:rsidRPr="004676B1" w:rsidRDefault="006E191C" w:rsidP="00D23153">
                            <w:pPr>
                              <w:pStyle w:val="BodyText"/>
                              <w:rPr>
                                <w:rFonts w:ascii="Open Sans" w:eastAsiaTheme="minorHAnsi" w:hAnsi="Open Sans" w:cs="Open Sans"/>
                                <w:color w:val="auto"/>
                                <w:sz w:val="24"/>
                                <w:szCs w:val="22"/>
                                <w:lang w:eastAsia="en-US"/>
                              </w:rPr>
                            </w:pPr>
                            <w:hyperlink r:id="rId47" w:history="1">
                              <w:r w:rsidR="00D23153" w:rsidRPr="004676B1">
                                <w:rPr>
                                  <w:rFonts w:ascii="Open Sans" w:eastAsiaTheme="minorHAnsi" w:hAnsi="Open Sans" w:cs="Open Sans"/>
                                  <w:color w:val="auto"/>
                                  <w:sz w:val="24"/>
                                  <w:szCs w:val="22"/>
                                </w:rPr>
                                <w:t>https://commission.europa.eu/funding-tenders/procedures-guidelines-tenders/information-contractors-and-beneficiaries/exchange-rate-inforeuro_en</w:t>
                              </w:r>
                            </w:hyperlink>
                            <w:r w:rsidR="00D23153" w:rsidRPr="004676B1">
                              <w:rPr>
                                <w:rFonts w:ascii="Open Sans" w:eastAsiaTheme="minorHAnsi" w:hAnsi="Open Sans" w:cs="Open Sans"/>
                                <w:color w:val="auto"/>
                                <w:sz w:val="24"/>
                                <w:szCs w:val="22"/>
                                <w:lang w:eastAsia="en-US"/>
                              </w:rPr>
                              <w:t xml:space="preserve"> </w:t>
                            </w:r>
                          </w:p>
                        </w:txbxContent>
                      </wps:txbx>
                      <wps:bodyPr wrap="square" lIns="0" tIns="0" rIns="0" bIns="0" rtlCol="0">
                        <a:noAutofit/>
                      </wps:bodyPr>
                    </wps:wsp>
                  </a:graphicData>
                </a:graphic>
              </wp:inline>
            </w:drawing>
          </mc:Choice>
          <mc:Fallback>
            <w:pict>
              <v:shape w14:anchorId="05C9EDC4" id="_x0000_s1077" type="#_x0000_t202" style="width:454.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" filled="f" strokecolor="#039" strokeweight="1pt">
                <v:path arrowok="t"/>
                <v:textbox inset="0,0,0,0">
                  <w:txbxContent>
                    <w:p w14:paraId="42F7F99B" w14:textId="77777777" w:rsidR="00D23153" w:rsidRPr="00D23153" w:rsidRDefault="00D23153" w:rsidP="00D23153">
                      <w:pPr>
                        <w:pStyle w:val="BodyText"/>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Official monthly exchange rate can be found at:</w:t>
                      </w:r>
                    </w:p>
                    <w:p w14:paraId="3E2F8FF7" w14:textId="77777777" w:rsidR="00D23153" w:rsidRPr="004676B1" w:rsidRDefault="00BB2739" w:rsidP="00D23153">
                      <w:pPr>
                        <w:pStyle w:val="BodyText"/>
                        <w:rPr>
                          <w:rFonts w:ascii="Open Sans" w:eastAsiaTheme="minorHAnsi" w:hAnsi="Open Sans" w:cs="Open Sans"/>
                          <w:color w:val="auto"/>
                          <w:sz w:val="24"/>
                          <w:szCs w:val="22"/>
                          <w:lang w:eastAsia="en-US"/>
                        </w:rPr>
                      </w:pPr>
                      <w:hyperlink r:id="rId48" w:history="1">
                        <w:r w:rsidR="00D23153" w:rsidRPr="004676B1">
                          <w:rPr>
                            <w:rFonts w:ascii="Open Sans" w:eastAsiaTheme="minorHAnsi" w:hAnsi="Open Sans" w:cs="Open Sans"/>
                            <w:color w:val="auto"/>
                            <w:sz w:val="24"/>
                            <w:szCs w:val="22"/>
                          </w:rPr>
                          <w:t>https://commission.europa.eu/funding-tenders/procedures-guidelines-tenders/information-contractors-and-beneficiaries/exchange-rate-inforeuro_en</w:t>
                        </w:r>
                      </w:hyperlink>
                      <w:r w:rsidR="00D23153" w:rsidRPr="004676B1">
                        <w:rPr>
                          <w:rFonts w:ascii="Open Sans" w:eastAsiaTheme="minorHAnsi" w:hAnsi="Open Sans" w:cs="Open Sans"/>
                          <w:color w:val="auto"/>
                          <w:sz w:val="24"/>
                          <w:szCs w:val="22"/>
                          <w:lang w:eastAsia="en-US"/>
                        </w:rPr>
                        <w:t xml:space="preserve"> </w:t>
                      </w:r>
                    </w:p>
                  </w:txbxContent>
                </v:textbox>
                <w10:anchorlock/>
              </v:shape>
            </w:pict>
          </mc:Fallback>
        </mc:AlternateContent>
      </w:r>
    </w:p>
    <w:p w14:paraId="58D01C4E" w14:textId="1F64E8C1" w:rsidR="00D13400" w:rsidRPr="008B78CB" w:rsidRDefault="00D4759C" w:rsidP="003C58C0">
      <w:pPr>
        <w:spacing w:line="360" w:lineRule="auto"/>
      </w:pPr>
      <w:r w:rsidRPr="008B78CB">
        <w:t>To</w:t>
      </w:r>
      <w:r w:rsidR="00D13400" w:rsidRPr="008B78CB">
        <w:t xml:space="preserve"> avoid rounding differences, expenditure in the progress reports must be presented with two decimal places. Partners are obliged to insert the data into the CST2021 system in Euro.</w:t>
      </w:r>
    </w:p>
    <w:p w14:paraId="1C1A983B" w14:textId="3C328AC6" w:rsidR="004136D9" w:rsidRPr="008B78CB" w:rsidRDefault="00D13400" w:rsidP="003C58C0">
      <w:pPr>
        <w:spacing w:line="360" w:lineRule="auto"/>
      </w:pPr>
      <w:r w:rsidRPr="008B78CB">
        <w:t>It is important to note that the reimbursement of the reported costs will be made in Euro to the</w:t>
      </w:r>
      <w:r w:rsidR="008122ED" w:rsidRPr="008B78CB">
        <w:t xml:space="preserve"> lead</w:t>
      </w:r>
      <w:r w:rsidR="00D45EFF" w:rsidRPr="008B78CB">
        <w:t xml:space="preserve"> partner</w:t>
      </w:r>
      <w:r w:rsidRPr="008B78CB">
        <w:t xml:space="preserve">’s bank account and further to the project partner’s accounts. The risk of any losses resulting from the currency conversion is borne by the project partners. </w:t>
      </w:r>
      <w:r w:rsidR="00B7310E" w:rsidRPr="008B78CB">
        <w:t>To</w:t>
      </w:r>
      <w:r w:rsidRPr="008B78CB">
        <w:t xml:space="preserve"> avoid such losses, it is recommended that a bank account is opened in Euro for the purpose of the project. </w:t>
      </w:r>
    </w:p>
    <w:p w14:paraId="78C72CAA" w14:textId="1C93398D" w:rsidR="00CD100F" w:rsidRPr="00440AD7" w:rsidRDefault="001A7C11" w:rsidP="003C58C0">
      <w:pPr>
        <w:pStyle w:val="Heading2"/>
        <w:spacing w:line="360" w:lineRule="auto"/>
        <w:rPr>
          <w:rFonts w:ascii="Segoe UI" w:hAnsi="Segoe UI" w:cs="Segoe UI"/>
          <w:color w:val="1C4E6D"/>
          <w:lang w:val="en-GB"/>
        </w:rPr>
      </w:pPr>
      <w:bookmarkStart w:id="159" w:name="_Toc147242457"/>
      <w:r w:rsidRPr="008B78CB">
        <w:t>3</w:t>
      </w:r>
      <w:r w:rsidR="006F385D" w:rsidRPr="008B78CB">
        <w:t xml:space="preserve"> </w:t>
      </w:r>
      <w:r w:rsidR="00166F00" w:rsidRPr="008B78CB">
        <w:t>COMMUNICATION AND MANAGEMENT OF OUTPUTS AND RESULTS</w:t>
      </w:r>
      <w:bookmarkEnd w:id="159"/>
    </w:p>
    <w:p w14:paraId="12C63044" w14:textId="1CD86EF0" w:rsidR="00CD100F" w:rsidRPr="008B78CB" w:rsidRDefault="00CD100F" w:rsidP="003C58C0">
      <w:pPr>
        <w:spacing w:line="360" w:lineRule="auto"/>
      </w:pPr>
      <w:r w:rsidRPr="008B78CB">
        <w:t xml:space="preserve">Communication is necessary for the effective implementation of a project. </w:t>
      </w:r>
      <w:r w:rsidR="00B7310E" w:rsidRPr="008B78CB">
        <w:t>With this</w:t>
      </w:r>
      <w:r w:rsidRPr="008B78CB">
        <w:t>, project partners can reach various groups with information about the project. The projects can</w:t>
      </w:r>
      <w:r w:rsidR="00B7310E" w:rsidRPr="008B78CB">
        <w:t>,</w:t>
      </w:r>
      <w:r w:rsidRPr="008B78CB">
        <w:t xml:space="preserve"> for example:</w:t>
      </w:r>
    </w:p>
    <w:p w14:paraId="07700A55" w14:textId="66C82776" w:rsidR="00CD100F" w:rsidRPr="008B78CB" w:rsidRDefault="007E3C7B" w:rsidP="003C58C0">
      <w:pPr>
        <w:pStyle w:val="ListParagraph"/>
        <w:numPr>
          <w:ilvl w:val="0"/>
          <w:numId w:val="22"/>
        </w:numPr>
        <w:spacing w:line="360" w:lineRule="auto"/>
      </w:pPr>
      <w:r>
        <w:t>E</w:t>
      </w:r>
      <w:r w:rsidR="00CD100F" w:rsidRPr="008B78CB">
        <w:t>ncourage participation in the project, e.g., in a training course organised within the project</w:t>
      </w:r>
      <w:r>
        <w:t>.</w:t>
      </w:r>
    </w:p>
    <w:p w14:paraId="0931DED3" w14:textId="279ED234" w:rsidR="00CD100F" w:rsidRPr="008B78CB" w:rsidRDefault="007E3C7B" w:rsidP="003C58C0">
      <w:pPr>
        <w:pStyle w:val="ListParagraph"/>
        <w:numPr>
          <w:ilvl w:val="0"/>
          <w:numId w:val="22"/>
        </w:numPr>
        <w:spacing w:line="360" w:lineRule="auto"/>
      </w:pPr>
      <w:r>
        <w:t>A</w:t>
      </w:r>
      <w:r w:rsidR="00CD100F" w:rsidRPr="008B78CB">
        <w:t>cquire potential partners for the implementation of future projects</w:t>
      </w:r>
      <w:r>
        <w:t>.</w:t>
      </w:r>
    </w:p>
    <w:p w14:paraId="482AD377" w14:textId="12F2E3CB" w:rsidR="00CD100F" w:rsidRPr="008B78CB" w:rsidRDefault="007E3C7B" w:rsidP="003C58C0">
      <w:pPr>
        <w:pStyle w:val="ListParagraph"/>
        <w:numPr>
          <w:ilvl w:val="0"/>
          <w:numId w:val="22"/>
        </w:numPr>
        <w:spacing w:line="360" w:lineRule="auto"/>
      </w:pPr>
      <w:r>
        <w:t>I</w:t>
      </w:r>
      <w:r w:rsidR="00CD100F" w:rsidRPr="008B78CB">
        <w:t>nform and encourage the local community to benefit from the project</w:t>
      </w:r>
      <w:r w:rsidR="00580541" w:rsidRPr="008B78CB">
        <w:t>’</w:t>
      </w:r>
      <w:r w:rsidR="00CD100F" w:rsidRPr="008B78CB">
        <w:t>s results</w:t>
      </w:r>
      <w:r>
        <w:t>.</w:t>
      </w:r>
    </w:p>
    <w:p w14:paraId="29AD86F2" w14:textId="0B19A07E" w:rsidR="00CD100F" w:rsidRPr="008B78CB" w:rsidRDefault="007E3C7B" w:rsidP="003C58C0">
      <w:pPr>
        <w:pStyle w:val="ListParagraph"/>
        <w:numPr>
          <w:ilvl w:val="0"/>
          <w:numId w:val="22"/>
        </w:numPr>
        <w:spacing w:line="360" w:lineRule="auto"/>
      </w:pPr>
      <w:r>
        <w:lastRenderedPageBreak/>
        <w:t>G</w:t>
      </w:r>
      <w:r w:rsidR="00B7310E" w:rsidRPr="008B78CB">
        <w:t xml:space="preserve">et the </w:t>
      </w:r>
      <w:r w:rsidR="00CD100F" w:rsidRPr="008B78CB">
        <w:t>media interested in the results of the project and thus build a positive image of oneself and of the EU, which co-financed the project</w:t>
      </w:r>
      <w:r>
        <w:t>.</w:t>
      </w:r>
    </w:p>
    <w:p w14:paraId="782F78A3" w14:textId="0BF5BD61" w:rsidR="00CD100F" w:rsidRPr="008B78CB" w:rsidRDefault="007E3C7B" w:rsidP="003C58C0">
      <w:pPr>
        <w:pStyle w:val="ListParagraph"/>
        <w:numPr>
          <w:ilvl w:val="0"/>
          <w:numId w:val="22"/>
        </w:numPr>
        <w:spacing w:line="360" w:lineRule="auto"/>
      </w:pPr>
      <w:r>
        <w:t>I</w:t>
      </w:r>
      <w:r w:rsidR="00CD100F" w:rsidRPr="008B78CB">
        <w:t>nspire local decision-makers to take further steps to continue the idea of the project, without any support from the EU.</w:t>
      </w:r>
    </w:p>
    <w:p w14:paraId="5033FFB9" w14:textId="12BD9F42" w:rsidR="00CD100F" w:rsidRPr="008B78CB" w:rsidRDefault="00CD100F" w:rsidP="003C58C0">
      <w:pPr>
        <w:spacing w:line="360" w:lineRule="auto"/>
      </w:pPr>
      <w:r w:rsidRPr="008B78CB">
        <w:t>It is important to plan communication activities at the project preparation stage and include them in the communication plan, which is an integral part of the funding application.</w:t>
      </w:r>
    </w:p>
    <w:p w14:paraId="52981692" w14:textId="65A5F341" w:rsidR="00CD100F" w:rsidRPr="008B78CB" w:rsidRDefault="00CD100F" w:rsidP="003C58C0">
      <w:pPr>
        <w:spacing w:line="360" w:lineRule="auto"/>
      </w:pPr>
      <w:r w:rsidRPr="008B78CB">
        <w:t>Internal communication within the project is also very important, as it contributes to mutual understanding and trust among partners. This, in turn, affects the effective implementation of the project.</w:t>
      </w:r>
    </w:p>
    <w:p w14:paraId="600A8E66" w14:textId="2484FEF8" w:rsidR="00CD100F" w:rsidRPr="008B78CB" w:rsidRDefault="001A7C11" w:rsidP="003C58C0">
      <w:pPr>
        <w:pStyle w:val="Heading3"/>
        <w:spacing w:line="360" w:lineRule="auto"/>
      </w:pPr>
      <w:bookmarkStart w:id="160" w:name="_Toc147242458"/>
      <w:bookmarkStart w:id="161" w:name="_Hlk111544676"/>
      <w:r w:rsidRPr="008B78CB">
        <w:t>3</w:t>
      </w:r>
      <w:r w:rsidR="00166F00" w:rsidRPr="008B78CB">
        <w:t xml:space="preserve">.1 </w:t>
      </w:r>
      <w:r w:rsidR="00CD100F" w:rsidRPr="008B78CB">
        <w:t>Communication obligations for project partners</w:t>
      </w:r>
      <w:bookmarkEnd w:id="160"/>
    </w:p>
    <w:bookmarkEnd w:id="161"/>
    <w:p w14:paraId="4D498060" w14:textId="17CEB11A" w:rsidR="00093A6C" w:rsidRPr="00D23153" w:rsidRDefault="00093A6C" w:rsidP="003C58C0">
      <w:pPr>
        <w:spacing w:line="360" w:lineRule="auto"/>
        <w:rPr>
          <w:rFonts w:ascii="Open Sans SemiBold" w:eastAsia="Open Sans SemiBold" w:hAnsi="Open Sans SemiBold" w:cs="Open Sans SemiBold"/>
          <w:bCs/>
          <w:color w:val="003399"/>
          <w:szCs w:val="24"/>
        </w:rPr>
      </w:pPr>
      <w:r w:rsidRPr="00D23153">
        <w:rPr>
          <w:rFonts w:ascii="Open Sans SemiBold" w:eastAsia="Open Sans SemiBold" w:hAnsi="Open Sans SemiBold" w:cs="Open Sans SemiBold"/>
          <w:bCs/>
          <w:color w:val="003399"/>
          <w:szCs w:val="24"/>
        </w:rPr>
        <w:t>Obligations under regulations</w:t>
      </w:r>
    </w:p>
    <w:p w14:paraId="138C52F3" w14:textId="06200338" w:rsidR="00CD100F" w:rsidRPr="008B78CB" w:rsidRDefault="00CD100F" w:rsidP="003C58C0">
      <w:pPr>
        <w:spacing w:line="360" w:lineRule="auto"/>
      </w:pPr>
      <w:r w:rsidRPr="008B78CB">
        <w:t xml:space="preserve">Communication obligations for each project partner are stated in the </w:t>
      </w:r>
      <w:r w:rsidR="002F0413" w:rsidRPr="008B78CB">
        <w:t xml:space="preserve">Common Provisions </w:t>
      </w:r>
      <w:r w:rsidRPr="008B78CB">
        <w:t>Regulation and in the Interreg Regulation. They include:</w:t>
      </w:r>
    </w:p>
    <w:p w14:paraId="44320A31" w14:textId="12EEBC40" w:rsidR="008B78CB" w:rsidRDefault="00CD100F" w:rsidP="003C58C0">
      <w:pPr>
        <w:pStyle w:val="ListParagraph"/>
        <w:numPr>
          <w:ilvl w:val="0"/>
          <w:numId w:val="69"/>
        </w:numPr>
        <w:spacing w:line="360" w:lineRule="auto"/>
      </w:pPr>
      <w:r w:rsidRPr="008B78CB">
        <w:t>using the Programme logotype during the implementation of activities related to visibility, transparency and communication</w:t>
      </w:r>
      <w:r w:rsidR="00E15B33" w:rsidRPr="008B78CB">
        <w:t>;</w:t>
      </w:r>
      <w:r w:rsidR="00D23A2E">
        <w:rPr>
          <w:rStyle w:val="FootnoteReference"/>
          <w:rFonts w:eastAsia="Open Sans" w:cs="Open Sans"/>
          <w:sz w:val="20"/>
          <w:szCs w:val="20"/>
        </w:rPr>
        <w:footnoteReference w:id="51"/>
      </w:r>
    </w:p>
    <w:p w14:paraId="2E9879F0" w14:textId="76FC32B4" w:rsidR="00CD100F" w:rsidRPr="008B78CB" w:rsidRDefault="00CD100F" w:rsidP="003C58C0">
      <w:pPr>
        <w:pStyle w:val="ListParagraph"/>
        <w:numPr>
          <w:ilvl w:val="0"/>
          <w:numId w:val="69"/>
        </w:numPr>
        <w:spacing w:line="360" w:lineRule="auto"/>
      </w:pPr>
      <w:r w:rsidRPr="008B78CB">
        <w:t xml:space="preserve">publishing </w:t>
      </w:r>
      <w:r w:rsidR="00E15B33" w:rsidRPr="008B78CB">
        <w:t xml:space="preserve">a short description of the project </w:t>
      </w:r>
      <w:r w:rsidRPr="008B78CB">
        <w:t xml:space="preserve">on </w:t>
      </w:r>
      <w:r w:rsidR="004F046F" w:rsidRPr="008B78CB">
        <w:t>each partner’s respective</w:t>
      </w:r>
      <w:r w:rsidRPr="008B78CB">
        <w:t xml:space="preserve"> website or social media </w:t>
      </w:r>
      <w:r w:rsidR="00D53030" w:rsidRPr="008B78CB">
        <w:t xml:space="preserve">sites </w:t>
      </w:r>
      <w:r w:rsidRPr="008B78CB">
        <w:t>(if the partners have one), including:</w:t>
      </w:r>
    </w:p>
    <w:p w14:paraId="70AE24E9" w14:textId="77777777" w:rsidR="008B78CB" w:rsidRDefault="004F046F" w:rsidP="003C58C0">
      <w:pPr>
        <w:pStyle w:val="ListParagraph"/>
        <w:numPr>
          <w:ilvl w:val="0"/>
          <w:numId w:val="70"/>
        </w:numPr>
        <w:spacing w:line="360" w:lineRule="auto"/>
      </w:pPr>
      <w:r w:rsidRPr="008B78CB">
        <w:t xml:space="preserve">project </w:t>
      </w:r>
      <w:r w:rsidR="00CD100F" w:rsidRPr="008B78CB">
        <w:t>goals;</w:t>
      </w:r>
    </w:p>
    <w:p w14:paraId="7EAC266E" w14:textId="77777777" w:rsidR="008B78CB" w:rsidRDefault="004F046F" w:rsidP="003C58C0">
      <w:pPr>
        <w:pStyle w:val="ListParagraph"/>
        <w:numPr>
          <w:ilvl w:val="0"/>
          <w:numId w:val="70"/>
        </w:numPr>
        <w:spacing w:line="360" w:lineRule="auto"/>
      </w:pPr>
      <w:r w:rsidRPr="008B78CB">
        <w:t xml:space="preserve">project </w:t>
      </w:r>
      <w:r w:rsidR="00CD100F" w:rsidRPr="008B78CB">
        <w:t>results;</w:t>
      </w:r>
    </w:p>
    <w:p w14:paraId="5B029990" w14:textId="7FD738D4" w:rsidR="00B93308" w:rsidRPr="008B78CB" w:rsidRDefault="00CD100F" w:rsidP="003C58C0">
      <w:pPr>
        <w:pStyle w:val="ListParagraph"/>
        <w:numPr>
          <w:ilvl w:val="0"/>
          <w:numId w:val="70"/>
        </w:numPr>
        <w:spacing w:line="360" w:lineRule="auto"/>
      </w:pPr>
      <w:r w:rsidRPr="008B78CB">
        <w:t>information about receiving financial support from</w:t>
      </w:r>
      <w:r w:rsidR="004F046F" w:rsidRPr="008B78CB">
        <w:t xml:space="preserve"> the</w:t>
      </w:r>
      <w:r w:rsidRPr="008B78CB">
        <w:t xml:space="preserve"> </w:t>
      </w:r>
      <w:r w:rsidR="00922DC1" w:rsidRPr="008B78CB">
        <w:t>Programme</w:t>
      </w:r>
      <w:r w:rsidR="00B93308" w:rsidRPr="008B78CB">
        <w:t>;</w:t>
      </w:r>
    </w:p>
    <w:p w14:paraId="52E27EC5" w14:textId="70F25D76" w:rsidR="00371DB2" w:rsidRPr="008B78CB" w:rsidRDefault="00CD100F" w:rsidP="003C58C0">
      <w:pPr>
        <w:pStyle w:val="ListParagraph"/>
        <w:numPr>
          <w:ilvl w:val="0"/>
          <w:numId w:val="11"/>
        </w:numPr>
        <w:spacing w:line="360" w:lineRule="auto"/>
      </w:pPr>
      <w:r w:rsidRPr="008B78CB">
        <w:t xml:space="preserve">visibly </w:t>
      </w:r>
      <w:r w:rsidR="0098375F" w:rsidRPr="008B78CB">
        <w:t xml:space="preserve">displaying </w:t>
      </w:r>
      <w:r w:rsidRPr="008B78CB">
        <w:t xml:space="preserve">information about the support from </w:t>
      </w:r>
      <w:r w:rsidR="004F046F" w:rsidRPr="008B78CB">
        <w:t xml:space="preserve">the </w:t>
      </w:r>
      <w:r w:rsidR="00922DC1" w:rsidRPr="008B78CB">
        <w:t xml:space="preserve">Programme </w:t>
      </w:r>
      <w:r w:rsidRPr="008B78CB">
        <w:t xml:space="preserve">in documents and information materials related to the </w:t>
      </w:r>
      <w:r w:rsidRPr="008B78CB">
        <w:lastRenderedPageBreak/>
        <w:t>implementation of the project, intended for the</w:t>
      </w:r>
      <w:r w:rsidR="00F33B41" w:rsidRPr="008B78CB">
        <w:t xml:space="preserve"> general</w:t>
      </w:r>
      <w:r w:rsidRPr="008B78CB">
        <w:t xml:space="preserve"> public</w:t>
      </w:r>
      <w:r w:rsidR="00F33B41" w:rsidRPr="008B78CB">
        <w:t xml:space="preserve"> and participants</w:t>
      </w:r>
      <w:r w:rsidR="00B93308" w:rsidRPr="008B78CB">
        <w:t>;</w:t>
      </w:r>
    </w:p>
    <w:p w14:paraId="3ED0A29F" w14:textId="55838626" w:rsidR="00371DB2" w:rsidRPr="00D23A2E" w:rsidRDefault="00CD100F" w:rsidP="003C58C0">
      <w:pPr>
        <w:pStyle w:val="ListParagraph"/>
        <w:numPr>
          <w:ilvl w:val="0"/>
          <w:numId w:val="11"/>
        </w:numPr>
        <w:spacing w:line="360" w:lineRule="auto"/>
      </w:pPr>
      <w:r w:rsidRPr="008B78CB">
        <w:t>placing permanent information boards or commemorative plaques with the Programme logo</w:t>
      </w:r>
      <w:r w:rsidR="0098375F" w:rsidRPr="008B78CB">
        <w:t xml:space="preserve"> in public places</w:t>
      </w:r>
      <w:r w:rsidRPr="008B78CB">
        <w:t xml:space="preserve">. This should take place immediately after the commencement of the project implementation which includes material investments or the purchase of equipment, or after the </w:t>
      </w:r>
      <w:r w:rsidRPr="00D23A2E">
        <w:t>installation of the purchased equipment. It applies to projects with a value of more than EUR 100,000</w:t>
      </w:r>
      <w:r w:rsidR="00B93308" w:rsidRPr="00D23A2E">
        <w:t>;</w:t>
      </w:r>
    </w:p>
    <w:p w14:paraId="694F1746" w14:textId="48353788" w:rsidR="00371DB2" w:rsidRDefault="004261DF" w:rsidP="003C58C0">
      <w:pPr>
        <w:pStyle w:val="ListParagraph"/>
        <w:numPr>
          <w:ilvl w:val="0"/>
          <w:numId w:val="11"/>
        </w:numPr>
        <w:spacing w:line="360" w:lineRule="auto"/>
      </w:pPr>
      <w:r w:rsidRPr="00D23A2E">
        <w:t>for</w:t>
      </w:r>
      <w:r w:rsidR="00CD100F" w:rsidRPr="00D23A2E">
        <w:t xml:space="preserve"> projects </w:t>
      </w:r>
      <w:r w:rsidR="0098375F" w:rsidRPr="00D23A2E">
        <w:t xml:space="preserve">that </w:t>
      </w:r>
      <w:r w:rsidR="00CD100F" w:rsidRPr="00D23A2E">
        <w:t>do not fall within the scope of point d)</w:t>
      </w:r>
      <w:r w:rsidR="0098375F" w:rsidRPr="00D23A2E">
        <w:t>,</w:t>
      </w:r>
      <w:r w:rsidR="00CD100F" w:rsidRPr="00D23A2E">
        <w:t xml:space="preserve"> placing at least one poster </w:t>
      </w:r>
      <w:r w:rsidR="0098375F" w:rsidRPr="00D23A2E">
        <w:t xml:space="preserve">in public </w:t>
      </w:r>
      <w:r w:rsidR="00CD100F" w:rsidRPr="00D23A2E">
        <w:t xml:space="preserve">with a minimum size of A3 or a similar size electronic display with information about the project and the support received from </w:t>
      </w:r>
      <w:r w:rsidR="00371DB2" w:rsidRPr="00D23A2E">
        <w:t xml:space="preserve">the </w:t>
      </w:r>
      <w:r w:rsidR="00922DC1" w:rsidRPr="00D23A2E">
        <w:t>Programme</w:t>
      </w:r>
      <w:r w:rsidR="00371DB2" w:rsidRPr="00D23A2E">
        <w:t>;</w:t>
      </w:r>
      <w:r w:rsidR="00BA3F54">
        <w:t xml:space="preserve"> </w:t>
      </w:r>
    </w:p>
    <w:p w14:paraId="600B39A0" w14:textId="3F54003D" w:rsidR="00BA3F54" w:rsidRPr="00D23A2E" w:rsidRDefault="00BA3F54" w:rsidP="003C58C0">
      <w:pPr>
        <w:pStyle w:val="ListParagraph"/>
        <w:numPr>
          <w:ilvl w:val="0"/>
          <w:numId w:val="11"/>
        </w:numPr>
        <w:spacing w:line="360" w:lineRule="auto"/>
      </w:pPr>
      <w:r w:rsidRPr="00D23A2E">
        <w:t>for projects of strategic importance (see Chapter I</w:t>
      </w:r>
      <w:r w:rsidR="007A512F">
        <w:t>I</w:t>
      </w:r>
      <w:r w:rsidRPr="00D23A2E">
        <w:t xml:space="preserve">I, Section 1 Project phases and project types), the organisation of an information event and the involvement of the European Commission and the Managing Authority. </w:t>
      </w:r>
      <w:r w:rsidRPr="00D23A2E">
        <w:rPr>
          <w:rStyle w:val="FootnoteReference"/>
          <w:rFonts w:eastAsia="Open Sans" w:cs="Open Sans"/>
          <w:sz w:val="20"/>
          <w:szCs w:val="20"/>
        </w:rPr>
        <w:footnoteReference w:id="52"/>
      </w:r>
    </w:p>
    <w:p w14:paraId="26DD675A" w14:textId="3BE3B867" w:rsidR="00B93308" w:rsidRPr="008B78CB" w:rsidRDefault="00CD100F" w:rsidP="003C58C0">
      <w:pPr>
        <w:spacing w:line="360" w:lineRule="auto"/>
      </w:pPr>
      <w:r w:rsidRPr="00D23A2E">
        <w:t xml:space="preserve">Partners are also required to make communication and visibility materials </w:t>
      </w:r>
      <w:r w:rsidR="00380B7F" w:rsidRPr="00D23A2E">
        <w:t xml:space="preserve">available </w:t>
      </w:r>
      <w:r w:rsidRPr="00D23A2E">
        <w:t>at the request of EU institutions, bodies, and organisational units, such as</w:t>
      </w:r>
      <w:r w:rsidRPr="008B78CB">
        <w:t xml:space="preserve"> the European Commission. The EU should be granted a free, and irrevocable license to use the material</w:t>
      </w:r>
      <w:r w:rsidR="004F046F" w:rsidRPr="008B78CB">
        <w:t>s</w:t>
      </w:r>
      <w:r w:rsidRPr="008B78CB">
        <w:t xml:space="preserve"> and any pre-existing rights that derive from such </w:t>
      </w:r>
      <w:r w:rsidR="00281033" w:rsidRPr="008B78CB">
        <w:t>a license</w:t>
      </w:r>
      <w:r w:rsidRPr="008B78CB">
        <w:t>. The license will grant the EU the following rights:</w:t>
      </w:r>
    </w:p>
    <w:p w14:paraId="343D3600" w14:textId="58767F0E" w:rsidR="00B93308" w:rsidRPr="008B78CB" w:rsidRDefault="00F539B1" w:rsidP="003C58C0">
      <w:pPr>
        <w:pStyle w:val="ListParagraph"/>
        <w:numPr>
          <w:ilvl w:val="0"/>
          <w:numId w:val="22"/>
        </w:numPr>
        <w:spacing w:line="360" w:lineRule="auto"/>
      </w:pPr>
      <w:r>
        <w:t>T</w:t>
      </w:r>
      <w:r w:rsidR="00CD100F" w:rsidRPr="008B78CB">
        <w:t>he right to reproduce and copy the above-mentioned materials and make them available to the EU institutions and offices and the institutions of the Member States and their staff (for internal use)</w:t>
      </w:r>
      <w:r>
        <w:t>.</w:t>
      </w:r>
    </w:p>
    <w:p w14:paraId="63D5E107" w14:textId="77777777" w:rsidR="00B93308" w:rsidRPr="008B78CB" w:rsidRDefault="00F539B1" w:rsidP="003C58C0">
      <w:pPr>
        <w:pStyle w:val="ListParagraph"/>
        <w:numPr>
          <w:ilvl w:val="0"/>
          <w:numId w:val="22"/>
        </w:numPr>
        <w:spacing w:line="360" w:lineRule="auto"/>
      </w:pPr>
      <w:r>
        <w:lastRenderedPageBreak/>
        <w:t>R</w:t>
      </w:r>
      <w:r w:rsidR="00CD100F" w:rsidRPr="008B78CB">
        <w:t>eproduction by any means and in any form, in whole or in part</w:t>
      </w:r>
      <w:r>
        <w:t>.</w:t>
      </w:r>
    </w:p>
    <w:p w14:paraId="1B60675A" w14:textId="27840862" w:rsidR="00B93308" w:rsidRPr="008B78CB" w:rsidRDefault="00F539B1" w:rsidP="003C58C0">
      <w:pPr>
        <w:pStyle w:val="ListParagraph"/>
        <w:numPr>
          <w:ilvl w:val="0"/>
          <w:numId w:val="22"/>
        </w:numPr>
        <w:spacing w:line="360" w:lineRule="auto"/>
      </w:pPr>
      <w:r>
        <w:t>M</w:t>
      </w:r>
      <w:r w:rsidR="00CD100F" w:rsidRPr="008B78CB">
        <w:t>aking available to the public using any means of communication</w:t>
      </w:r>
      <w:r>
        <w:t>.</w:t>
      </w:r>
    </w:p>
    <w:p w14:paraId="5389ED8D" w14:textId="5C64D397" w:rsidR="00B93308" w:rsidRPr="008B78CB" w:rsidRDefault="00F539B1" w:rsidP="003C58C0">
      <w:pPr>
        <w:pStyle w:val="ListParagraph"/>
        <w:numPr>
          <w:ilvl w:val="0"/>
          <w:numId w:val="22"/>
        </w:numPr>
        <w:spacing w:line="360" w:lineRule="auto"/>
      </w:pPr>
      <w:r>
        <w:t>P</w:t>
      </w:r>
      <w:r w:rsidR="00CD100F" w:rsidRPr="008B78CB">
        <w:t>ublicly distributing materials or copies in any form</w:t>
      </w:r>
      <w:r>
        <w:t>.</w:t>
      </w:r>
    </w:p>
    <w:p w14:paraId="493C132E" w14:textId="011863F9" w:rsidR="00B93308" w:rsidRPr="008B78CB" w:rsidRDefault="00F539B1" w:rsidP="003C58C0">
      <w:pPr>
        <w:pStyle w:val="ListParagraph"/>
        <w:numPr>
          <w:ilvl w:val="0"/>
          <w:numId w:val="22"/>
        </w:numPr>
        <w:spacing w:line="360" w:lineRule="auto"/>
      </w:pPr>
      <w:r>
        <w:t>S</w:t>
      </w:r>
      <w:r w:rsidR="00CD100F" w:rsidRPr="008B78CB">
        <w:t>torage and archiving</w:t>
      </w:r>
      <w:r>
        <w:t>.</w:t>
      </w:r>
    </w:p>
    <w:p w14:paraId="5F9A14BF" w14:textId="2D508263" w:rsidR="00CD100F" w:rsidRPr="008B78CB" w:rsidRDefault="00F539B1" w:rsidP="003C58C0">
      <w:pPr>
        <w:pStyle w:val="ListParagraph"/>
        <w:numPr>
          <w:ilvl w:val="0"/>
          <w:numId w:val="22"/>
        </w:numPr>
        <w:spacing w:line="360" w:lineRule="auto"/>
      </w:pPr>
      <w:r>
        <w:t>S</w:t>
      </w:r>
      <w:r w:rsidR="00CD100F" w:rsidRPr="008B78CB">
        <w:t>ub-licensing the rights to these materials to third parties.</w:t>
      </w:r>
    </w:p>
    <w:p w14:paraId="2CBF35BF" w14:textId="3BD412F3" w:rsidR="00093A6C" w:rsidRPr="008B78CB" w:rsidRDefault="00093A6C" w:rsidP="003C58C0">
      <w:pPr>
        <w:spacing w:line="360" w:lineRule="auto"/>
      </w:pPr>
      <w:r w:rsidRPr="008B78CB">
        <w:rPr>
          <w:rFonts w:ascii="Open Sans ExtraBold"/>
          <w:b/>
          <w:color w:val="003399"/>
          <w:spacing w:val="-2"/>
        </w:rPr>
        <w:t>NB:</w:t>
      </w:r>
      <w:r w:rsidRPr="008B78CB">
        <w:t xml:space="preserve"> </w:t>
      </w:r>
      <w:r w:rsidR="00CD100F" w:rsidRPr="008B78CB">
        <w:t>This obligation will not entail additional costs or administrative burdens for the partners</w:t>
      </w:r>
      <w:r w:rsidR="00201A4A" w:rsidRPr="008B78CB">
        <w:t>.</w:t>
      </w:r>
      <w:r w:rsidR="00D23A2E">
        <w:rPr>
          <w:rStyle w:val="FootnoteReference"/>
          <w:rFonts w:eastAsia="Open Sans" w:cs="Open Sans"/>
          <w:sz w:val="20"/>
          <w:szCs w:val="20"/>
        </w:rPr>
        <w:footnoteReference w:id="53"/>
      </w:r>
    </w:p>
    <w:p w14:paraId="42CF7E20" w14:textId="60B50239" w:rsidR="00CD100F" w:rsidRPr="008B78CB" w:rsidRDefault="00CD5C9A" w:rsidP="003C58C0">
      <w:pPr>
        <w:spacing w:line="360" w:lineRule="auto"/>
      </w:pPr>
      <w:r w:rsidRPr="008B78CB">
        <w:t xml:space="preserve">Funding reduction </w:t>
      </w:r>
      <w:r w:rsidR="00093A6C" w:rsidRPr="008B78CB">
        <w:t>in the event of failure to comply with obligations under the regulations</w:t>
      </w:r>
    </w:p>
    <w:p w14:paraId="7E3D8C2B" w14:textId="2A987FF1" w:rsidR="00093A6C" w:rsidRPr="008B78CB" w:rsidRDefault="00093A6C" w:rsidP="003C58C0">
      <w:pPr>
        <w:spacing w:line="360" w:lineRule="auto"/>
      </w:pPr>
      <w:r w:rsidRPr="008B78CB">
        <w:t xml:space="preserve">If the project partner does not comply with the obligations </w:t>
      </w:r>
      <w:r w:rsidR="002F0413" w:rsidRPr="008B78CB">
        <w:t>listed</w:t>
      </w:r>
      <w:r w:rsidR="00371DB2" w:rsidRPr="008B78CB">
        <w:t xml:space="preserve"> under items a)</w:t>
      </w:r>
      <w:r w:rsidR="00380B7F" w:rsidRPr="008B78CB">
        <w:t>–</w:t>
      </w:r>
      <w:r w:rsidR="00371DB2" w:rsidRPr="008B78CB">
        <w:t>f) of this section</w:t>
      </w:r>
      <w:r w:rsidRPr="008B78CB">
        <w:t xml:space="preserve"> and does not take any remedial actions, the Managing Authority shall reduce the funding awarded to a given partner by a maximum of 2%.</w:t>
      </w:r>
    </w:p>
    <w:p w14:paraId="614B1934" w14:textId="3C6482A9" w:rsidR="00D04521" w:rsidRDefault="00093A6C" w:rsidP="003C58C0">
      <w:pPr>
        <w:spacing w:line="360" w:lineRule="auto"/>
      </w:pPr>
      <w:r w:rsidRPr="008B78CB">
        <w:t>Below is a table showing the percentage of funding reduction for non-compliance with communication obligations.</w:t>
      </w:r>
    </w:p>
    <w:tbl>
      <w:tblPr>
        <w:tblStyle w:val="TableNormal1"/>
        <w:tblpPr w:leftFromText="180" w:rightFromText="180" w:vertAnchor="text" w:horzAnchor="margin" w:tblpY="766"/>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Percentage of the funding reduction for non-compliance with communication obligations"/>
        <w:tblDescription w:val="Partner obligation 1: Post a short description of the project, information about its goals and results, financial support from Interreg on its website or its own social media pages (if any). Maximum percentage of funding reduction for failure to fulfil a given obligation during project implementation (% of the funding awarded to a given project partner): 0,4%.&#10;Partner obligation 2: Present information about the support from Interreg in documents and information materials related to the project, intended for the general public or participants. Maximum percentage of funding reduction for failure to fulfil a given obligation during project implementation (% of the funding awarded to a given project partner): 0,4%.&#10;• Partner obligation 3: Place permanent information boards or commemorative plaques in public which contain the Programme logo – in projects involving material investments or the purchase of equipment, with a value above EUR 100,000. Or place in public at least one poster with a minimum size of A3 or a similar size electronic display, with information about the project and support from the Interreg – in other projects not listed in point 3a. Maximum percentage of funding reduction for failure to fulfil a given obligation during project implementation (% of the funding awarded to a given project partner): 0,4%.&#10;• Partner obligation 4: For projects of strategic importance – organise an information event involving the Managing Authority and the European Commission. Maximum percentage of funding reduction for failure to fulfil a given obligation during project implementation (% of the funding awarded to a given project partner): 0,4%.&#10;• Partner obligation 5: Other communication activities (except those listed in points 1 to 4): when implementing the visibility, transparency, and communication activities, use the Programme logo, with the EU emblem. Maximum percentage of funding reduction for failure to fulfil a given obligation during project implementation (% of the funding awarded to a given project partner): 0,1% per unit default, maximum 0,4%."/>
      </w:tblPr>
      <w:tblGrid>
        <w:gridCol w:w="5295"/>
        <w:gridCol w:w="3780"/>
      </w:tblGrid>
      <w:tr w:rsidR="00987867" w:rsidRPr="00805C22" w14:paraId="429A12B7" w14:textId="77777777" w:rsidTr="007748C2">
        <w:trPr>
          <w:trHeight w:val="1424"/>
          <w:tblHeader/>
        </w:trPr>
        <w:tc>
          <w:tcPr>
            <w:tcW w:w="5295" w:type="dxa"/>
            <w:tcBorders>
              <w:left w:val="single" w:sz="12" w:space="0" w:color="003399"/>
              <w:bottom w:val="single" w:sz="12" w:space="0" w:color="003399"/>
              <w:right w:val="single" w:sz="12" w:space="0" w:color="003399"/>
            </w:tcBorders>
          </w:tcPr>
          <w:p w14:paraId="0BA1A196" w14:textId="77777777" w:rsidR="00987867" w:rsidRPr="004736DC" w:rsidRDefault="00987867" w:rsidP="003C58C0">
            <w:pPr>
              <w:pStyle w:val="TableParagraph"/>
              <w:spacing w:line="360" w:lineRule="auto"/>
            </w:pPr>
            <w:r w:rsidRPr="004736DC">
              <w:t>Partner obligation</w:t>
            </w:r>
          </w:p>
        </w:tc>
        <w:tc>
          <w:tcPr>
            <w:tcW w:w="3780" w:type="dxa"/>
            <w:tcBorders>
              <w:left w:val="single" w:sz="12" w:space="0" w:color="003399"/>
              <w:bottom w:val="single" w:sz="12" w:space="0" w:color="003399"/>
              <w:right w:val="single" w:sz="12" w:space="0" w:color="003399"/>
            </w:tcBorders>
          </w:tcPr>
          <w:p w14:paraId="52C09ED4" w14:textId="77777777" w:rsidR="00987867" w:rsidRPr="004736DC" w:rsidRDefault="00987867" w:rsidP="003C58C0">
            <w:pPr>
              <w:pStyle w:val="TableParagraph"/>
              <w:spacing w:line="360" w:lineRule="auto"/>
            </w:pPr>
            <w:r w:rsidRPr="004736DC">
              <w:t>Maximum percentage of funding reduction for failure to fulfil a given obligation during project implementation (% of the funding awarded to a given project partner)</w:t>
            </w:r>
          </w:p>
        </w:tc>
      </w:tr>
      <w:tr w:rsidR="00987867" w:rsidRPr="00D034FA" w14:paraId="1DA16164" w14:textId="77777777" w:rsidTr="00987867">
        <w:trPr>
          <w:trHeight w:val="1225"/>
        </w:trPr>
        <w:tc>
          <w:tcPr>
            <w:tcW w:w="5295" w:type="dxa"/>
            <w:tcBorders>
              <w:top w:val="single" w:sz="12" w:space="0" w:color="003399"/>
              <w:left w:val="single" w:sz="12" w:space="0" w:color="003399"/>
              <w:bottom w:val="single" w:sz="12" w:space="0" w:color="003399"/>
              <w:right w:val="single" w:sz="12" w:space="0" w:color="003399"/>
            </w:tcBorders>
            <w:vAlign w:val="center"/>
          </w:tcPr>
          <w:p w14:paraId="2BCCDF4F" w14:textId="77777777" w:rsidR="00987867" w:rsidRPr="004736DC" w:rsidRDefault="00987867" w:rsidP="003C58C0">
            <w:pPr>
              <w:pStyle w:val="TableParagraph"/>
              <w:numPr>
                <w:ilvl w:val="0"/>
                <w:numId w:val="71"/>
              </w:numPr>
              <w:spacing w:line="360" w:lineRule="auto"/>
            </w:pPr>
            <w:r w:rsidRPr="004736DC">
              <w:t xml:space="preserve">Post a short description of the project, information about its goals and results, </w:t>
            </w:r>
            <w:r w:rsidRPr="004736DC">
              <w:lastRenderedPageBreak/>
              <w:t>financial support from the Programme on its website or its own social media pages (if any).</w:t>
            </w:r>
          </w:p>
        </w:tc>
        <w:tc>
          <w:tcPr>
            <w:tcW w:w="3780" w:type="dxa"/>
            <w:tcBorders>
              <w:top w:val="single" w:sz="12" w:space="0" w:color="003399"/>
              <w:left w:val="single" w:sz="12" w:space="0" w:color="003399"/>
              <w:bottom w:val="single" w:sz="12" w:space="0" w:color="003399"/>
              <w:right w:val="single" w:sz="12" w:space="0" w:color="003399"/>
            </w:tcBorders>
          </w:tcPr>
          <w:p w14:paraId="6D9F9198" w14:textId="77777777" w:rsidR="00987867" w:rsidRPr="004736DC" w:rsidRDefault="00987867" w:rsidP="003C58C0">
            <w:pPr>
              <w:pStyle w:val="TableParagraph"/>
              <w:spacing w:line="360" w:lineRule="auto"/>
            </w:pPr>
            <w:r w:rsidRPr="004736DC">
              <w:lastRenderedPageBreak/>
              <w:t>0.4%</w:t>
            </w:r>
          </w:p>
        </w:tc>
      </w:tr>
      <w:tr w:rsidR="00987867" w:rsidRPr="00141E13" w14:paraId="3ADBB819" w14:textId="77777777" w:rsidTr="00987867">
        <w:trPr>
          <w:trHeight w:val="329"/>
        </w:trPr>
        <w:tc>
          <w:tcPr>
            <w:tcW w:w="5295" w:type="dxa"/>
            <w:tcBorders>
              <w:top w:val="single" w:sz="12" w:space="0" w:color="003399"/>
              <w:left w:val="single" w:sz="12" w:space="0" w:color="003399"/>
              <w:bottom w:val="single" w:sz="12" w:space="0" w:color="003399"/>
              <w:right w:val="single" w:sz="12" w:space="0" w:color="003399"/>
            </w:tcBorders>
            <w:vAlign w:val="center"/>
          </w:tcPr>
          <w:p w14:paraId="532205D4" w14:textId="77777777" w:rsidR="00987867" w:rsidRPr="004736DC" w:rsidRDefault="00987867" w:rsidP="003C58C0">
            <w:pPr>
              <w:pStyle w:val="TableParagraph"/>
              <w:numPr>
                <w:ilvl w:val="0"/>
                <w:numId w:val="71"/>
              </w:numPr>
              <w:spacing w:line="360" w:lineRule="auto"/>
            </w:pPr>
            <w:r w:rsidRPr="004736DC">
              <w:t>Present information about the support from the Programme in documents and information materials related to the project, intended for the general public or participants.</w:t>
            </w:r>
          </w:p>
        </w:tc>
        <w:tc>
          <w:tcPr>
            <w:tcW w:w="3780" w:type="dxa"/>
            <w:tcBorders>
              <w:top w:val="single" w:sz="12" w:space="0" w:color="003399"/>
              <w:left w:val="single" w:sz="12" w:space="0" w:color="003399"/>
              <w:bottom w:val="single" w:sz="12" w:space="0" w:color="003399"/>
              <w:right w:val="single" w:sz="12" w:space="0" w:color="003399"/>
            </w:tcBorders>
          </w:tcPr>
          <w:p w14:paraId="5B468150" w14:textId="77777777" w:rsidR="00987867" w:rsidRPr="00EE1E5A" w:rsidRDefault="00987867" w:rsidP="003C58C0">
            <w:pPr>
              <w:pStyle w:val="TableParagraph"/>
              <w:spacing w:line="360" w:lineRule="auto"/>
            </w:pPr>
            <w:r w:rsidRPr="004736DC">
              <w:t>0.4%</w:t>
            </w:r>
          </w:p>
        </w:tc>
      </w:tr>
      <w:tr w:rsidR="00987867" w:rsidRPr="00141E13" w14:paraId="751AC277" w14:textId="77777777" w:rsidTr="00987867">
        <w:trPr>
          <w:trHeight w:val="558"/>
        </w:trPr>
        <w:tc>
          <w:tcPr>
            <w:tcW w:w="5295" w:type="dxa"/>
            <w:tcBorders>
              <w:top w:val="single" w:sz="12" w:space="0" w:color="003399"/>
              <w:left w:val="single" w:sz="12" w:space="0" w:color="003399"/>
              <w:bottom w:val="single" w:sz="12" w:space="0" w:color="003399"/>
              <w:right w:val="single" w:sz="12" w:space="0" w:color="003399"/>
            </w:tcBorders>
            <w:vAlign w:val="center"/>
          </w:tcPr>
          <w:p w14:paraId="1A326F5A" w14:textId="06616F28" w:rsidR="00987867" w:rsidRPr="004736DC" w:rsidRDefault="00987867" w:rsidP="003C58C0">
            <w:pPr>
              <w:pStyle w:val="TableParagraph"/>
              <w:numPr>
                <w:ilvl w:val="0"/>
                <w:numId w:val="71"/>
              </w:numPr>
              <w:spacing w:line="360" w:lineRule="auto"/>
            </w:pPr>
            <w:r>
              <w:t xml:space="preserve">a) </w:t>
            </w:r>
            <w:r w:rsidRPr="002755D9">
              <w:t>Place permanent information boards or commemorative plaques in public which contain the Programme logo – in projects involving material investments or the purchase of equipment, with a value above EUR 100</w:t>
            </w:r>
            <w:r w:rsidR="00DD3472">
              <w:t xml:space="preserve"> </w:t>
            </w:r>
            <w:r w:rsidRPr="002755D9">
              <w:t>000.</w:t>
            </w:r>
          </w:p>
        </w:tc>
        <w:tc>
          <w:tcPr>
            <w:tcW w:w="3780" w:type="dxa"/>
            <w:tcBorders>
              <w:top w:val="single" w:sz="12" w:space="0" w:color="003399"/>
              <w:left w:val="single" w:sz="12" w:space="0" w:color="003399"/>
              <w:bottom w:val="single" w:sz="12" w:space="0" w:color="003399"/>
              <w:right w:val="single" w:sz="12" w:space="0" w:color="003399"/>
            </w:tcBorders>
          </w:tcPr>
          <w:p w14:paraId="1BE68220" w14:textId="77777777" w:rsidR="00987867" w:rsidRPr="004736DC" w:rsidRDefault="00987867" w:rsidP="003C58C0">
            <w:pPr>
              <w:pStyle w:val="TableParagraph"/>
              <w:spacing w:line="360" w:lineRule="auto"/>
              <w:rPr>
                <w:sz w:val="20"/>
                <w:szCs w:val="20"/>
              </w:rPr>
            </w:pPr>
            <w:r w:rsidRPr="00553B0C">
              <w:t>0</w:t>
            </w:r>
            <w:r>
              <w:t>.</w:t>
            </w:r>
            <w:r w:rsidRPr="00553B0C">
              <w:t>4%</w:t>
            </w:r>
          </w:p>
        </w:tc>
      </w:tr>
      <w:tr w:rsidR="00987867" w:rsidRPr="00141E13" w14:paraId="773FC8B1" w14:textId="77777777" w:rsidTr="00987867">
        <w:trPr>
          <w:trHeight w:val="558"/>
        </w:trPr>
        <w:tc>
          <w:tcPr>
            <w:tcW w:w="9075" w:type="dxa"/>
            <w:gridSpan w:val="2"/>
            <w:tcBorders>
              <w:top w:val="single" w:sz="12" w:space="0" w:color="003399"/>
              <w:left w:val="single" w:sz="12" w:space="0" w:color="003399"/>
              <w:bottom w:val="single" w:sz="12" w:space="0" w:color="003399"/>
              <w:right w:val="single" w:sz="12" w:space="0" w:color="003399"/>
            </w:tcBorders>
            <w:vAlign w:val="center"/>
          </w:tcPr>
          <w:p w14:paraId="1EA33BF4" w14:textId="77777777" w:rsidR="00987867" w:rsidRPr="004736DC" w:rsidRDefault="00987867" w:rsidP="003C58C0">
            <w:pPr>
              <w:pStyle w:val="TableParagraph"/>
              <w:spacing w:line="360" w:lineRule="auto"/>
            </w:pPr>
            <w:r w:rsidRPr="002755D9">
              <w:t>Or</w:t>
            </w:r>
          </w:p>
        </w:tc>
      </w:tr>
      <w:tr w:rsidR="00987867" w:rsidRPr="00141E13" w14:paraId="2DF52553" w14:textId="77777777" w:rsidTr="00987867">
        <w:trPr>
          <w:trHeight w:val="977"/>
        </w:trPr>
        <w:tc>
          <w:tcPr>
            <w:tcW w:w="5295" w:type="dxa"/>
            <w:tcBorders>
              <w:top w:val="single" w:sz="12" w:space="0" w:color="003399"/>
              <w:left w:val="single" w:sz="12" w:space="0" w:color="003399"/>
              <w:bottom w:val="single" w:sz="12" w:space="0" w:color="003399"/>
              <w:right w:val="single" w:sz="12" w:space="0" w:color="003399"/>
            </w:tcBorders>
          </w:tcPr>
          <w:p w14:paraId="65033253" w14:textId="77777777" w:rsidR="00987867" w:rsidRPr="004736DC" w:rsidRDefault="00987867" w:rsidP="003C58C0">
            <w:pPr>
              <w:pStyle w:val="TableParagraph"/>
              <w:numPr>
                <w:ilvl w:val="0"/>
                <w:numId w:val="71"/>
              </w:numPr>
              <w:spacing w:line="360" w:lineRule="auto"/>
            </w:pPr>
            <w:r>
              <w:t xml:space="preserve">b) </w:t>
            </w:r>
            <w:r w:rsidRPr="002755D9">
              <w:t>For projects of strategic importance – organise an information event involving the Managing Authority and the European Commission.</w:t>
            </w:r>
          </w:p>
        </w:tc>
        <w:tc>
          <w:tcPr>
            <w:tcW w:w="3780" w:type="dxa"/>
            <w:tcBorders>
              <w:top w:val="single" w:sz="12" w:space="0" w:color="003399"/>
              <w:left w:val="single" w:sz="12" w:space="0" w:color="003399"/>
              <w:bottom w:val="single" w:sz="12" w:space="0" w:color="003399"/>
              <w:right w:val="single" w:sz="12" w:space="0" w:color="003399"/>
            </w:tcBorders>
          </w:tcPr>
          <w:p w14:paraId="46AE7617" w14:textId="77777777" w:rsidR="00987867" w:rsidRPr="004736DC" w:rsidRDefault="00987867" w:rsidP="003C58C0">
            <w:pPr>
              <w:pStyle w:val="TableParagraph"/>
              <w:spacing w:line="360" w:lineRule="auto"/>
              <w:rPr>
                <w:sz w:val="20"/>
                <w:szCs w:val="20"/>
              </w:rPr>
            </w:pPr>
            <w:r w:rsidRPr="00553B0C">
              <w:t>0</w:t>
            </w:r>
            <w:r>
              <w:t>.</w:t>
            </w:r>
            <w:r w:rsidRPr="00553B0C">
              <w:t>4%</w:t>
            </w:r>
          </w:p>
        </w:tc>
      </w:tr>
      <w:tr w:rsidR="00987867" w:rsidRPr="00141E13" w14:paraId="29DF3089" w14:textId="77777777" w:rsidTr="00987867">
        <w:trPr>
          <w:trHeight w:val="1413"/>
        </w:trPr>
        <w:tc>
          <w:tcPr>
            <w:tcW w:w="5295" w:type="dxa"/>
            <w:tcBorders>
              <w:top w:val="single" w:sz="12" w:space="0" w:color="003399"/>
              <w:left w:val="single" w:sz="12" w:space="0" w:color="003399"/>
              <w:bottom w:val="single" w:sz="12" w:space="0" w:color="003399"/>
              <w:right w:val="single" w:sz="12" w:space="0" w:color="003399"/>
            </w:tcBorders>
          </w:tcPr>
          <w:p w14:paraId="30A5BA3E" w14:textId="77777777" w:rsidR="00987867" w:rsidRPr="004736DC" w:rsidRDefault="00987867" w:rsidP="003C58C0">
            <w:pPr>
              <w:pStyle w:val="TableParagraph"/>
              <w:numPr>
                <w:ilvl w:val="0"/>
                <w:numId w:val="71"/>
              </w:numPr>
              <w:spacing w:line="360" w:lineRule="auto"/>
            </w:pPr>
            <w:r w:rsidRPr="002755D9">
              <w:lastRenderedPageBreak/>
              <w:t>Other communication activities (except those listed in points 1 to 4): when implementing the visibility, transparency, and communication activities, use the Programme logo, with the EU emblem.</w:t>
            </w:r>
          </w:p>
        </w:tc>
        <w:tc>
          <w:tcPr>
            <w:tcW w:w="3780" w:type="dxa"/>
            <w:tcBorders>
              <w:top w:val="single" w:sz="12" w:space="0" w:color="003399"/>
              <w:left w:val="single" w:sz="12" w:space="0" w:color="003399"/>
              <w:bottom w:val="single" w:sz="12" w:space="0" w:color="003399"/>
              <w:right w:val="single" w:sz="12" w:space="0" w:color="003399"/>
            </w:tcBorders>
          </w:tcPr>
          <w:p w14:paraId="60E6B53D" w14:textId="77777777" w:rsidR="00987867" w:rsidRDefault="00987867" w:rsidP="003C58C0">
            <w:pPr>
              <w:pStyle w:val="TableParagraph"/>
              <w:spacing w:line="360" w:lineRule="auto"/>
            </w:pPr>
            <w:r w:rsidRPr="00553B0C">
              <w:t>0</w:t>
            </w:r>
            <w:r>
              <w:t>.</w:t>
            </w:r>
            <w:r w:rsidRPr="00553B0C">
              <w:t xml:space="preserve">1% per unit default, </w:t>
            </w:r>
          </w:p>
          <w:p w14:paraId="0DC3C166" w14:textId="77777777" w:rsidR="00987867" w:rsidRPr="004736DC" w:rsidRDefault="00987867" w:rsidP="003C58C0">
            <w:pPr>
              <w:pStyle w:val="TableParagraph"/>
              <w:spacing w:line="360" w:lineRule="auto"/>
              <w:rPr>
                <w:sz w:val="20"/>
                <w:szCs w:val="20"/>
              </w:rPr>
            </w:pPr>
            <w:r w:rsidRPr="00553B0C">
              <w:t>maximum 0</w:t>
            </w:r>
            <w:r>
              <w:t>.</w:t>
            </w:r>
            <w:r w:rsidRPr="00553B0C">
              <w:t>4%</w:t>
            </w:r>
          </w:p>
        </w:tc>
      </w:tr>
    </w:tbl>
    <w:p w14:paraId="17E7B9F0" w14:textId="6F747220" w:rsidR="008B78CB" w:rsidRDefault="00333290" w:rsidP="003C58C0">
      <w:pPr>
        <w:spacing w:line="360" w:lineRule="auto"/>
      </w:pPr>
      <w:r w:rsidRPr="008B78CB">
        <w:t xml:space="preserve">Table </w:t>
      </w:r>
      <w:r w:rsidR="00AD60E0" w:rsidRPr="008B78CB">
        <w:t>3</w:t>
      </w:r>
      <w:r w:rsidRPr="008B78CB">
        <w:t xml:space="preserve"> </w:t>
      </w:r>
      <w:r w:rsidR="00380B7F" w:rsidRPr="008B78CB">
        <w:t>P</w:t>
      </w:r>
      <w:r w:rsidR="00CD5C9A" w:rsidRPr="008B78CB">
        <w:t>ercentage of the</w:t>
      </w:r>
      <w:r w:rsidRPr="008B78CB">
        <w:t xml:space="preserve"> funding reduction for non-compliance with communication obligation</w:t>
      </w:r>
      <w:r w:rsidR="004736DC">
        <w:t>s</w:t>
      </w:r>
    </w:p>
    <w:p w14:paraId="4209FF7A" w14:textId="77777777" w:rsidR="0092706F" w:rsidRDefault="0092706F" w:rsidP="003C58C0">
      <w:pPr>
        <w:spacing w:line="360" w:lineRule="auto"/>
      </w:pPr>
    </w:p>
    <w:p w14:paraId="45C196D7" w14:textId="14C12A49" w:rsidR="00A745AB" w:rsidRPr="002755D9" w:rsidRDefault="00A745AB" w:rsidP="003C58C0">
      <w:pPr>
        <w:spacing w:line="360" w:lineRule="auto"/>
      </w:pPr>
      <w:r w:rsidRPr="002755D9">
        <w:t>Additional duties</w:t>
      </w:r>
    </w:p>
    <w:p w14:paraId="152CB271" w14:textId="77777777" w:rsidR="00A745AB" w:rsidRPr="002755D9" w:rsidRDefault="00A745AB" w:rsidP="003C58C0">
      <w:pPr>
        <w:spacing w:line="360" w:lineRule="auto"/>
      </w:pPr>
      <w:r w:rsidRPr="002755D9">
        <w:t>The partners are required to submit to the Joint Secretariat:</w:t>
      </w:r>
    </w:p>
    <w:p w14:paraId="62340C23" w14:textId="4C468989" w:rsidR="009B79DD" w:rsidRPr="002755D9" w:rsidRDefault="009B79DD" w:rsidP="003C58C0">
      <w:pPr>
        <w:pStyle w:val="ListParagraph"/>
        <w:numPr>
          <w:ilvl w:val="0"/>
          <w:numId w:val="72"/>
        </w:numPr>
        <w:spacing w:line="360" w:lineRule="auto"/>
      </w:pPr>
      <w:r w:rsidRPr="002755D9">
        <w:t>P</w:t>
      </w:r>
      <w:r w:rsidR="00A745AB" w:rsidRPr="002755D9">
        <w:t>hotographic and audiovisual documentation of the project implementation (including photos, films, webcasts, radio and TV broadcasts or scans of press articles). The technical and qualitative parameters of the selected materials are defined in the</w:t>
      </w:r>
      <w:r w:rsidR="00A745AB" w:rsidRPr="002755D9">
        <w:rPr>
          <w:rFonts w:ascii="Open Sans SemiBold" w:eastAsia="Open Sans SemiBold" w:hAnsi="Open Sans SemiBold" w:cs="Open Sans SemiBold"/>
          <w:bCs/>
          <w:color w:val="003399"/>
        </w:rPr>
        <w:t xml:space="preserve"> </w:t>
      </w:r>
      <w:r w:rsidR="00922DC1" w:rsidRPr="002755D9">
        <w:rPr>
          <w:rFonts w:ascii="Open Sans SemiBold" w:eastAsia="Open Sans SemiBold" w:hAnsi="Open Sans SemiBold" w:cs="Open Sans SemiBold"/>
          <w:bCs/>
          <w:color w:val="003399"/>
        </w:rPr>
        <w:t>Communication Guidelines for Beneficiaries</w:t>
      </w:r>
      <w:r w:rsidR="00A745AB" w:rsidRPr="002755D9">
        <w:rPr>
          <w:rFonts w:ascii="Open Sans SemiBold" w:eastAsia="Open Sans SemiBold" w:hAnsi="Open Sans SemiBold" w:cs="Open Sans SemiBold"/>
          <w:bCs/>
          <w:color w:val="003399"/>
        </w:rPr>
        <w:t>.</w:t>
      </w:r>
    </w:p>
    <w:p w14:paraId="4D32BA6A" w14:textId="05584D5A" w:rsidR="009B79DD" w:rsidRPr="002755D9" w:rsidRDefault="00A745AB" w:rsidP="003C58C0">
      <w:pPr>
        <w:pStyle w:val="ListParagraph"/>
        <w:spacing w:line="360" w:lineRule="auto"/>
      </w:pPr>
      <w:r w:rsidRPr="002755D9">
        <w:t>Partners are required to consent to the use of this documentation by the Managing Authority or JS in their information and promotion activities. The transfer of the rights to the documentation will take place based on separate, free</w:t>
      </w:r>
      <w:r w:rsidR="00922DC1" w:rsidRPr="002755D9">
        <w:t>, and non-exclusive</w:t>
      </w:r>
      <w:r w:rsidRPr="002755D9">
        <w:t xml:space="preserve"> license agreements.</w:t>
      </w:r>
    </w:p>
    <w:p w14:paraId="00AA17EC" w14:textId="36D28512" w:rsidR="002755D9" w:rsidRPr="00401661" w:rsidRDefault="009B79DD" w:rsidP="003C58C0">
      <w:pPr>
        <w:pStyle w:val="ListParagraph"/>
        <w:numPr>
          <w:ilvl w:val="0"/>
          <w:numId w:val="72"/>
        </w:numPr>
        <w:spacing w:line="360" w:lineRule="auto"/>
      </w:pPr>
      <w:r w:rsidRPr="002755D9">
        <w:lastRenderedPageBreak/>
        <w:t>I</w:t>
      </w:r>
      <w:r w:rsidR="00A745AB" w:rsidRPr="002755D9">
        <w:t xml:space="preserve">nformation on planned and ongoing activities concerning visibility, </w:t>
      </w:r>
      <w:r w:rsidR="000B1CEC" w:rsidRPr="002755D9">
        <w:t>transparency,</w:t>
      </w:r>
      <w:r w:rsidR="00A745AB" w:rsidRPr="002755D9">
        <w:t xml:space="preserve"> and communication in the project (e.g.</w:t>
      </w:r>
      <w:r w:rsidRPr="002755D9">
        <w:t>,</w:t>
      </w:r>
      <w:r w:rsidR="00A745AB" w:rsidRPr="002755D9">
        <w:t xml:space="preserve"> organisation of conferences) and completed significant stages of the project, including outputs and results (e.g.</w:t>
      </w:r>
      <w:r w:rsidRPr="002755D9">
        <w:t>,</w:t>
      </w:r>
      <w:r w:rsidR="00A745AB" w:rsidRPr="002755D9">
        <w:t xml:space="preserve"> publication). This also applies to products developed by external contractors on behalf of partners (e.g.</w:t>
      </w:r>
      <w:r w:rsidRPr="002755D9">
        <w:t>,</w:t>
      </w:r>
      <w:r w:rsidR="00A745AB" w:rsidRPr="002755D9">
        <w:t xml:space="preserve"> preparation of a study report).</w:t>
      </w:r>
      <w:r w:rsidR="00922DC1" w:rsidRPr="002755D9">
        <w:t xml:space="preserve"> More examples are provided in the Communication Guidelines for Beneficiaries. This information should be sent to the JS via e-mail at least 14 days before the planned activity and with no delay after the completion of important stages of the project, including the achievement of the result or delivery of the product.</w:t>
      </w:r>
    </w:p>
    <w:p w14:paraId="510E9491" w14:textId="39019E25" w:rsidR="00D43C95" w:rsidRPr="002755D9" w:rsidRDefault="0060298F" w:rsidP="003C58C0">
      <w:pPr>
        <w:spacing w:line="360" w:lineRule="auto"/>
        <w:rPr>
          <w:rFonts w:eastAsia="Open Sans" w:cs="Open Sans"/>
          <w:sz w:val="20"/>
          <w:szCs w:val="20"/>
        </w:rPr>
      </w:pPr>
      <w:r>
        <w:rPr>
          <w:noProof/>
        </w:rPr>
        <mc:AlternateContent>
          <mc:Choice Requires="wps">
            <w:drawing>
              <wp:inline distT="0" distB="0" distL="0" distR="0" wp14:anchorId="0E1CC909" wp14:editId="01591EB6">
                <wp:extent cx="5772150" cy="1504950"/>
                <wp:effectExtent l="0" t="0" r="19050" b="19050"/>
                <wp:docPr id="1930204501"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504950"/>
                        </a:xfrm>
                        <a:prstGeom prst="rect">
                          <a:avLst/>
                        </a:prstGeom>
                        <a:ln w="12700">
                          <a:solidFill>
                            <a:srgbClr val="003399"/>
                          </a:solidFill>
                          <a:prstDash val="solid"/>
                        </a:ln>
                      </wps:spPr>
                      <wps:txbx>
                        <w:txbxContent>
                          <w:p w14:paraId="71C8A109" w14:textId="77777777" w:rsidR="0060298F" w:rsidRPr="00CD511A" w:rsidRDefault="0060298F" w:rsidP="0060298F">
                            <w:pPr>
                              <w:pStyle w:val="BodyText"/>
                              <w:rPr>
                                <w:rFonts w:ascii="Open Sans ExtraBold" w:eastAsiaTheme="minorHAnsi" w:hAnsiTheme="minorHAnsi" w:cstheme="minorBidi"/>
                                <w:b/>
                                <w:color w:val="003399"/>
                                <w:spacing w:val="-2"/>
                                <w:sz w:val="24"/>
                                <w:szCs w:val="28"/>
                                <w:lang w:eastAsia="en-US"/>
                              </w:rPr>
                            </w:pPr>
                            <w:r w:rsidRPr="00CD511A">
                              <w:rPr>
                                <w:rFonts w:ascii="Open Sans ExtraBold" w:eastAsiaTheme="minorHAnsi" w:hAnsiTheme="minorHAnsi" w:cstheme="minorBidi"/>
                                <w:b/>
                                <w:color w:val="003399"/>
                                <w:spacing w:val="-2"/>
                                <w:sz w:val="24"/>
                                <w:szCs w:val="28"/>
                                <w:lang w:eastAsia="en-US"/>
                              </w:rPr>
                              <w:t xml:space="preserve">Note: </w:t>
                            </w:r>
                          </w:p>
                          <w:p w14:paraId="38D6D859" w14:textId="77777777" w:rsidR="0060298F" w:rsidRPr="00D23153" w:rsidRDefault="0060298F" w:rsidP="0060298F">
                            <w:pPr>
                              <w:pStyle w:val="BodyText"/>
                              <w:numPr>
                                <w:ilvl w:val="0"/>
                                <w:numId w:val="7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Additional communication obligations (i.e., delivery of a project success story) are provided in the Communication Guidelines for Beneficiaries.</w:t>
                            </w:r>
                          </w:p>
                          <w:p w14:paraId="25368E66" w14:textId="77777777" w:rsidR="0060298F" w:rsidRPr="00D23153" w:rsidRDefault="0060298F" w:rsidP="0060298F">
                            <w:pPr>
                              <w:pStyle w:val="BodyText"/>
                              <w:numPr>
                                <w:ilvl w:val="0"/>
                                <w:numId w:val="7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Additional communication obligations for Polish beneficiaries of subsidies from the state budget and state earmarked funds are stipulated in Annex 2.</w:t>
                            </w:r>
                          </w:p>
                        </w:txbxContent>
                      </wps:txbx>
                      <wps:bodyPr wrap="square" lIns="0" tIns="0" rIns="0" bIns="0" rtlCol="0">
                        <a:noAutofit/>
                      </wps:bodyPr>
                    </wps:wsp>
                  </a:graphicData>
                </a:graphic>
              </wp:inline>
            </w:drawing>
          </mc:Choice>
          <mc:Fallback>
            <w:pict>
              <v:shape w14:anchorId="0E1CC909" id="_x0000_s1078" type="#_x0000_t202" style="width:454.5pt;height:1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" filled="f" strokecolor="#039" strokeweight="1pt">
                <v:path arrowok="t"/>
                <v:textbox inset="0,0,0,0">
                  <w:txbxContent>
                    <w:p w14:paraId="71C8A109" w14:textId="77777777" w:rsidR="0060298F" w:rsidRPr="00CD511A" w:rsidRDefault="0060298F" w:rsidP="0060298F">
                      <w:pPr>
                        <w:pStyle w:val="BodyText"/>
                        <w:rPr>
                          <w:rFonts w:ascii="Open Sans ExtraBold" w:eastAsiaTheme="minorHAnsi" w:hAnsiTheme="minorHAnsi" w:cstheme="minorBidi"/>
                          <w:b/>
                          <w:color w:val="003399"/>
                          <w:spacing w:val="-2"/>
                          <w:sz w:val="24"/>
                          <w:szCs w:val="28"/>
                          <w:lang w:eastAsia="en-US"/>
                        </w:rPr>
                      </w:pPr>
                      <w:r w:rsidRPr="00CD511A">
                        <w:rPr>
                          <w:rFonts w:ascii="Open Sans ExtraBold" w:eastAsiaTheme="minorHAnsi" w:hAnsiTheme="minorHAnsi" w:cstheme="minorBidi"/>
                          <w:b/>
                          <w:color w:val="003399"/>
                          <w:spacing w:val="-2"/>
                          <w:sz w:val="24"/>
                          <w:szCs w:val="28"/>
                          <w:lang w:eastAsia="en-US"/>
                        </w:rPr>
                        <w:t xml:space="preserve">Note: </w:t>
                      </w:r>
                    </w:p>
                    <w:p w14:paraId="38D6D859" w14:textId="77777777" w:rsidR="0060298F" w:rsidRPr="00D23153" w:rsidRDefault="0060298F" w:rsidP="0060298F">
                      <w:pPr>
                        <w:pStyle w:val="BodyText"/>
                        <w:numPr>
                          <w:ilvl w:val="0"/>
                          <w:numId w:val="7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Additional communication obligations (i.e., delivery of a project success story) are provided in the Communication Guidelines for Beneficiaries.</w:t>
                      </w:r>
                    </w:p>
                    <w:p w14:paraId="25368E66" w14:textId="77777777" w:rsidR="0060298F" w:rsidRPr="00D23153" w:rsidRDefault="0060298F" w:rsidP="0060298F">
                      <w:pPr>
                        <w:pStyle w:val="BodyText"/>
                        <w:numPr>
                          <w:ilvl w:val="0"/>
                          <w:numId w:val="73"/>
                        </w:numPr>
                        <w:rPr>
                          <w:rFonts w:ascii="Open Sans" w:eastAsiaTheme="minorHAnsi" w:hAnsi="Open Sans" w:cstheme="minorBidi"/>
                          <w:color w:val="auto"/>
                          <w:sz w:val="24"/>
                          <w:szCs w:val="22"/>
                          <w:lang w:eastAsia="en-US"/>
                        </w:rPr>
                      </w:pPr>
                      <w:r w:rsidRPr="00D23153">
                        <w:rPr>
                          <w:rFonts w:ascii="Open Sans" w:eastAsiaTheme="minorHAnsi" w:hAnsi="Open Sans" w:cstheme="minorBidi"/>
                          <w:color w:val="auto"/>
                          <w:sz w:val="24"/>
                          <w:szCs w:val="22"/>
                          <w:lang w:eastAsia="en-US"/>
                        </w:rPr>
                        <w:t>Additional communication obligations for Polish beneficiaries of subsidies from the state budget and state earmarked funds are stipulated in Annex 2.</w:t>
                      </w:r>
                    </w:p>
                  </w:txbxContent>
                </v:textbox>
                <w10:anchorlock/>
              </v:shape>
            </w:pict>
          </mc:Fallback>
        </mc:AlternateContent>
      </w:r>
    </w:p>
    <w:p w14:paraId="69763C1A" w14:textId="11B49277" w:rsidR="003E562D" w:rsidRPr="002755D9" w:rsidRDefault="001A7C11" w:rsidP="003C58C0">
      <w:pPr>
        <w:pStyle w:val="Heading3"/>
        <w:spacing w:line="360" w:lineRule="auto"/>
      </w:pPr>
      <w:bookmarkStart w:id="162" w:name="_Toc147242459"/>
      <w:r w:rsidRPr="002755D9">
        <w:t>3</w:t>
      </w:r>
      <w:r w:rsidR="003E562D" w:rsidRPr="002755D9">
        <w:t>.2 Preparation of the Communication Plan</w:t>
      </w:r>
      <w:bookmarkEnd w:id="162"/>
    </w:p>
    <w:p w14:paraId="0D70C200" w14:textId="4D87AD9E" w:rsidR="003E562D" w:rsidRPr="002755D9" w:rsidRDefault="003E562D" w:rsidP="003C58C0">
      <w:pPr>
        <w:spacing w:line="360" w:lineRule="auto"/>
      </w:pPr>
      <w:r w:rsidRPr="002755D9">
        <w:t>The partners jointly plan communication</w:t>
      </w:r>
      <w:r w:rsidR="000F26FF" w:rsidRPr="002755D9">
        <w:t xml:space="preserve"> activities</w:t>
      </w:r>
      <w:r w:rsidRPr="002755D9">
        <w:t xml:space="preserve"> in a project and complete the project communication plan, which is an attachment to the </w:t>
      </w:r>
      <w:r w:rsidR="00171166" w:rsidRPr="002755D9">
        <w:t>Application Form</w:t>
      </w:r>
      <w:r w:rsidRPr="002755D9">
        <w:t xml:space="preserve">. </w:t>
      </w:r>
      <w:r w:rsidR="00944926" w:rsidRPr="002755D9">
        <w:t>The</w:t>
      </w:r>
      <w:r w:rsidRPr="002755D9">
        <w:t xml:space="preserve"> </w:t>
      </w:r>
      <w:r w:rsidR="00944926" w:rsidRPr="002755D9">
        <w:t xml:space="preserve">Communication Plan should </w:t>
      </w:r>
      <w:r w:rsidRPr="002755D9">
        <w:t>indicate:</w:t>
      </w:r>
    </w:p>
    <w:p w14:paraId="1DB45BF7" w14:textId="231B06F1" w:rsidR="003E562D" w:rsidRPr="002755D9" w:rsidRDefault="003E562D" w:rsidP="003C58C0">
      <w:pPr>
        <w:pStyle w:val="ListParagraph"/>
        <w:numPr>
          <w:ilvl w:val="0"/>
          <w:numId w:val="22"/>
        </w:numPr>
        <w:spacing w:line="360" w:lineRule="auto"/>
      </w:pPr>
      <w:r w:rsidRPr="002755D9">
        <w:rPr>
          <w:rFonts w:ascii="Open Sans SemiBold" w:eastAsia="Open Sans SemiBold" w:hAnsi="Open Sans SemiBold" w:cs="Open Sans SemiBold"/>
          <w:bCs/>
          <w:color w:val="003399"/>
        </w:rPr>
        <w:t>Communication goals, minimum 2</w:t>
      </w:r>
      <w:r w:rsidR="00C32F77" w:rsidRPr="002755D9">
        <w:t xml:space="preserve"> – </w:t>
      </w:r>
      <w:r w:rsidRPr="002755D9">
        <w:t>at the beginning and the end of the project implementation. If the specificity of the project requires it, the communication plan may include additional goals for important stages of the project.</w:t>
      </w:r>
    </w:p>
    <w:p w14:paraId="78FAEF6D" w14:textId="77777777" w:rsidR="003E562D" w:rsidRPr="002755D9" w:rsidRDefault="003E562D" w:rsidP="003C58C0">
      <w:pPr>
        <w:pStyle w:val="ListParagraph"/>
        <w:numPr>
          <w:ilvl w:val="0"/>
          <w:numId w:val="22"/>
        </w:numPr>
        <w:spacing w:line="360" w:lineRule="auto"/>
      </w:pPr>
      <w:r w:rsidRPr="002755D9">
        <w:rPr>
          <w:rFonts w:ascii="Open Sans SemiBold" w:eastAsia="Open Sans SemiBold" w:hAnsi="Open Sans SemiBold" w:cs="Open Sans SemiBold"/>
          <w:bCs/>
          <w:color w:val="003399"/>
        </w:rPr>
        <w:t>Target groups</w:t>
      </w:r>
      <w:r w:rsidRPr="002755D9">
        <w:t xml:space="preserve"> that are directly related to the communication goals.</w:t>
      </w:r>
    </w:p>
    <w:p w14:paraId="245B23A3" w14:textId="5D50698B" w:rsidR="003E562D" w:rsidRPr="002755D9" w:rsidRDefault="003E562D" w:rsidP="003C58C0">
      <w:pPr>
        <w:pStyle w:val="ListParagraph"/>
        <w:numPr>
          <w:ilvl w:val="0"/>
          <w:numId w:val="22"/>
        </w:numPr>
        <w:spacing w:line="360" w:lineRule="auto"/>
      </w:pPr>
      <w:r w:rsidRPr="002755D9">
        <w:rPr>
          <w:rFonts w:ascii="Open Sans SemiBold" w:eastAsia="Open Sans SemiBold" w:hAnsi="Open Sans SemiBold" w:cs="Open Sans SemiBold"/>
          <w:bCs/>
          <w:color w:val="003399"/>
        </w:rPr>
        <w:t>Communication activities</w:t>
      </w:r>
      <w:r w:rsidRPr="002755D9">
        <w:t xml:space="preserve"> (minimum those resulting from the </w:t>
      </w:r>
      <w:r w:rsidR="0028752B" w:rsidRPr="002755D9">
        <w:t xml:space="preserve">communication </w:t>
      </w:r>
      <w:r w:rsidRPr="002755D9">
        <w:t xml:space="preserve">obligations set out in this chapter). We also recommend </w:t>
      </w:r>
      <w:r w:rsidRPr="002755D9">
        <w:lastRenderedPageBreak/>
        <w:t>specifying additional activities that will help achieve the intended goal and reach the target group.</w:t>
      </w:r>
    </w:p>
    <w:p w14:paraId="37E8D514" w14:textId="77777777" w:rsidR="003E562D" w:rsidRPr="002755D9" w:rsidRDefault="003E562D" w:rsidP="003C58C0">
      <w:pPr>
        <w:pStyle w:val="ListParagraph"/>
        <w:numPr>
          <w:ilvl w:val="0"/>
          <w:numId w:val="22"/>
        </w:numPr>
        <w:spacing w:line="360" w:lineRule="auto"/>
      </w:pPr>
      <w:r w:rsidRPr="002755D9">
        <w:rPr>
          <w:rFonts w:ascii="Open Sans SemiBold" w:eastAsia="Open Sans SemiBold" w:hAnsi="Open Sans SemiBold" w:cs="Open Sans SemiBold"/>
          <w:bCs/>
          <w:color w:val="003399"/>
        </w:rPr>
        <w:t>Communication tools</w:t>
      </w:r>
      <w:r w:rsidRPr="002755D9">
        <w:t xml:space="preserve"> tailored to each activity and target numerical value (items or persons).</w:t>
      </w:r>
    </w:p>
    <w:p w14:paraId="51E5E47A" w14:textId="71BEEB6B" w:rsidR="00152B91" w:rsidRDefault="003E562D" w:rsidP="003C58C0">
      <w:pPr>
        <w:pStyle w:val="ListParagraph"/>
        <w:numPr>
          <w:ilvl w:val="0"/>
          <w:numId w:val="22"/>
        </w:numPr>
        <w:spacing w:line="360" w:lineRule="auto"/>
      </w:pPr>
      <w:r w:rsidRPr="002755D9">
        <w:rPr>
          <w:rFonts w:ascii="Open Sans SemiBold" w:eastAsia="Open Sans SemiBold" w:hAnsi="Open Sans SemiBold" w:cs="Open Sans SemiBold"/>
          <w:bCs/>
          <w:color w:val="003399"/>
        </w:rPr>
        <w:t>A partner</w:t>
      </w:r>
      <w:r w:rsidRPr="002755D9">
        <w:t xml:space="preserve"> who will be responsible for the implementation of the communication activity.</w:t>
      </w:r>
    </w:p>
    <w:p w14:paraId="52A8E536" w14:textId="3932645D" w:rsidR="004F78BE" w:rsidRPr="004136D9" w:rsidRDefault="00D23153" w:rsidP="003C58C0">
      <w:pPr>
        <w:spacing w:line="360" w:lineRule="auto"/>
      </w:pPr>
      <w:r w:rsidRPr="002755D9">
        <w:rPr>
          <w:rFonts w:ascii="Open Sans SemiBold" w:eastAsia="Open Sans SemiBold" w:hAnsi="Open Sans SemiBold" w:cs="Open Sans SemiBold"/>
          <w:bCs/>
          <w:noProof/>
          <w:color w:val="003399"/>
        </w:rPr>
        <mc:AlternateContent>
          <mc:Choice Requires="wps">
            <w:drawing>
              <wp:inline distT="0" distB="0" distL="0" distR="0" wp14:anchorId="5A2AD477" wp14:editId="4F09AFD0">
                <wp:extent cx="5772150" cy="990600"/>
                <wp:effectExtent l="0" t="0" r="19050" b="19050"/>
                <wp:docPr id="1121251195"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990600"/>
                        </a:xfrm>
                        <a:prstGeom prst="rect">
                          <a:avLst/>
                        </a:prstGeom>
                        <a:ln w="12700">
                          <a:solidFill>
                            <a:srgbClr val="003399"/>
                          </a:solidFill>
                          <a:prstDash val="solid"/>
                        </a:ln>
                      </wps:spPr>
                      <wps:txbx>
                        <w:txbxContent>
                          <w:p w14:paraId="22A8BC29" w14:textId="77777777" w:rsidR="00D23153" w:rsidRPr="00CD511A" w:rsidRDefault="00D23153" w:rsidP="00D23153">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Note: </w:t>
                            </w:r>
                          </w:p>
                          <w:p w14:paraId="3E474544" w14:textId="655FD6CC" w:rsidR="00D23153" w:rsidRPr="00CD511A" w:rsidRDefault="00D23153" w:rsidP="00D23153">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Details on the project’s communication plan and practical examples can be found in the </w:t>
                            </w:r>
                            <w:r w:rsidR="00CD511A" w:rsidRPr="00CD511A">
                              <w:rPr>
                                <w:rFonts w:ascii="Open Sans SemiBold" w:eastAsia="Open Sans SemiBold" w:hAnsi="Open Sans SemiBold" w:cs="Open Sans SemiBold"/>
                                <w:bCs/>
                                <w:color w:val="003399"/>
                                <w:sz w:val="24"/>
                                <w:szCs w:val="36"/>
                              </w:rPr>
                              <w:t>Communication Guidelines for Beneficiaries</w:t>
                            </w:r>
                            <w:r w:rsidRPr="00CD511A">
                              <w:rPr>
                                <w:rFonts w:ascii="Open Sans" w:eastAsiaTheme="minorHAnsi" w:hAnsi="Open Sans" w:cstheme="minorBidi"/>
                                <w:color w:val="auto"/>
                                <w:sz w:val="24"/>
                                <w:szCs w:val="22"/>
                                <w:lang w:eastAsia="en-US"/>
                              </w:rPr>
                              <w:t>.</w:t>
                            </w:r>
                          </w:p>
                        </w:txbxContent>
                      </wps:txbx>
                      <wps:bodyPr wrap="square" lIns="0" tIns="0" rIns="0" bIns="0" rtlCol="0">
                        <a:noAutofit/>
                      </wps:bodyPr>
                    </wps:wsp>
                  </a:graphicData>
                </a:graphic>
              </wp:inline>
            </w:drawing>
          </mc:Choice>
          <mc:Fallback>
            <w:pict>
              <v:shape w14:anchorId="5A2AD477" id="_x0000_s1079" type="#_x0000_t202" style="width:454.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" filled="f" strokecolor="#039" strokeweight="1pt">
                <v:path arrowok="t"/>
                <v:textbox inset="0,0,0,0">
                  <w:txbxContent>
                    <w:p w14:paraId="22A8BC29" w14:textId="77777777" w:rsidR="00D23153" w:rsidRPr="00CD511A" w:rsidRDefault="00D23153" w:rsidP="00D23153">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Note: </w:t>
                      </w:r>
                    </w:p>
                    <w:p w14:paraId="3E474544" w14:textId="655FD6CC" w:rsidR="00D23153" w:rsidRPr="00CD511A" w:rsidRDefault="00D23153" w:rsidP="00D23153">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Details on the project’s communication plan and practical examples can be found in the </w:t>
                      </w:r>
                      <w:r w:rsidR="00CD511A" w:rsidRPr="00CD511A">
                        <w:rPr>
                          <w:rFonts w:ascii="Open Sans SemiBold" w:eastAsia="Open Sans SemiBold" w:hAnsi="Open Sans SemiBold" w:cs="Open Sans SemiBold"/>
                          <w:bCs/>
                          <w:color w:val="003399"/>
                          <w:sz w:val="24"/>
                          <w:szCs w:val="36"/>
                        </w:rPr>
                        <w:t>Communication Guidelines for Beneficiaries</w:t>
                      </w:r>
                      <w:r w:rsidRPr="00CD511A">
                        <w:rPr>
                          <w:rFonts w:ascii="Open Sans" w:eastAsiaTheme="minorHAnsi" w:hAnsi="Open Sans" w:cstheme="minorBidi"/>
                          <w:color w:val="auto"/>
                          <w:sz w:val="24"/>
                          <w:szCs w:val="22"/>
                          <w:lang w:eastAsia="en-US"/>
                        </w:rPr>
                        <w:t>.</w:t>
                      </w:r>
                    </w:p>
                  </w:txbxContent>
                </v:textbox>
                <w10:anchorlock/>
              </v:shape>
            </w:pict>
          </mc:Fallback>
        </mc:AlternateContent>
      </w:r>
    </w:p>
    <w:p w14:paraId="3E8591C4" w14:textId="2535704C" w:rsidR="001536D9" w:rsidRPr="002755D9" w:rsidRDefault="001A7C11" w:rsidP="003C58C0">
      <w:pPr>
        <w:pStyle w:val="Heading3"/>
        <w:spacing w:line="360" w:lineRule="auto"/>
      </w:pPr>
      <w:bookmarkStart w:id="163" w:name="_Toc147242460"/>
      <w:r w:rsidRPr="002755D9">
        <w:t>3</w:t>
      </w:r>
      <w:r w:rsidR="00166F00" w:rsidRPr="002755D9">
        <w:t>.</w:t>
      </w:r>
      <w:r w:rsidR="00A7457E" w:rsidRPr="002755D9">
        <w:t>3</w:t>
      </w:r>
      <w:r w:rsidR="00166F00" w:rsidRPr="002755D9">
        <w:t xml:space="preserve"> </w:t>
      </w:r>
      <w:r w:rsidR="00A7457E" w:rsidRPr="002755D9">
        <w:t>Programme logotype</w:t>
      </w:r>
      <w:bookmarkEnd w:id="163"/>
    </w:p>
    <w:p w14:paraId="7215FCC5" w14:textId="6D6821FD" w:rsidR="00A7457E" w:rsidRPr="002755D9" w:rsidRDefault="00A7457E" w:rsidP="003C58C0">
      <w:pPr>
        <w:spacing w:line="360" w:lineRule="auto"/>
      </w:pPr>
      <w:r w:rsidRPr="002755D9">
        <w:t xml:space="preserve">The logotype of the Interreg South Baltic Programme was created based on the Interreg logotype, which consists of the term Interreg, the symbol of the European Union and information on </w:t>
      </w:r>
      <w:r w:rsidR="004F2B18" w:rsidRPr="002755D9">
        <w:t xml:space="preserve">the </w:t>
      </w:r>
      <w:r w:rsidRPr="002755D9">
        <w:t xml:space="preserve">co-financing. The name of the Programme is </w:t>
      </w:r>
      <w:r w:rsidR="004F2B18" w:rsidRPr="002755D9">
        <w:t xml:space="preserve">placed </w:t>
      </w:r>
      <w:r w:rsidRPr="002755D9">
        <w:t>below the word Interreg.</w:t>
      </w:r>
    </w:p>
    <w:p w14:paraId="56AB1F18" w14:textId="4BF553C3" w:rsidR="00A7457E" w:rsidRPr="002755D9" w:rsidRDefault="00A7457E" w:rsidP="003C58C0">
      <w:pPr>
        <w:spacing w:line="360" w:lineRule="auto"/>
      </w:pPr>
      <w:r w:rsidRPr="002755D9">
        <w:t xml:space="preserve">The Programme logo is obligatory to be used on all informational and promotional materials. More information on its use can be found in the </w:t>
      </w:r>
      <w:bookmarkStart w:id="164" w:name="_Hlk147324210"/>
      <w:r w:rsidR="002755D9" w:rsidRPr="002755D9">
        <w:rPr>
          <w:rFonts w:ascii="Open Sans SemiBold" w:eastAsia="Open Sans SemiBold" w:hAnsi="Open Sans SemiBold" w:cs="Open Sans SemiBold"/>
          <w:bCs/>
          <w:color w:val="003399"/>
        </w:rPr>
        <w:t>Communication Guidelines for Beneficiaries</w:t>
      </w:r>
      <w:bookmarkEnd w:id="164"/>
      <w:r w:rsidR="002755D9" w:rsidRPr="002755D9">
        <w:rPr>
          <w:rFonts w:ascii="Open Sans SemiBold" w:eastAsia="Open Sans SemiBold" w:hAnsi="Open Sans SemiBold" w:cs="Open Sans SemiBold"/>
          <w:bCs/>
          <w:color w:val="003399"/>
        </w:rPr>
        <w:t>.</w:t>
      </w:r>
    </w:p>
    <w:p w14:paraId="0060903D" w14:textId="04FBB272" w:rsidR="00A7457E" w:rsidRPr="00CD511A" w:rsidRDefault="00A7457E" w:rsidP="003C58C0">
      <w:pPr>
        <w:spacing w:line="360" w:lineRule="auto"/>
        <w:rPr>
          <w:rFonts w:ascii="Open Sans SemiBold" w:eastAsia="Open Sans SemiBold" w:hAnsi="Open Sans SemiBold" w:cs="Open Sans SemiBold"/>
          <w:bCs/>
          <w:color w:val="003399"/>
          <w:szCs w:val="36"/>
          <w:lang w:eastAsia="ar-SA"/>
        </w:rPr>
      </w:pPr>
      <w:r w:rsidRPr="00CD511A">
        <w:rPr>
          <w:rFonts w:ascii="Open Sans SemiBold" w:eastAsia="Open Sans SemiBold" w:hAnsi="Open Sans SemiBold" w:cs="Open Sans SemiBold"/>
          <w:bCs/>
          <w:color w:val="003399"/>
          <w:szCs w:val="36"/>
          <w:lang w:eastAsia="ar-SA"/>
        </w:rPr>
        <w:t xml:space="preserve">Name and logotype of a project </w:t>
      </w:r>
    </w:p>
    <w:p w14:paraId="138A3760" w14:textId="77777777" w:rsidR="00A7457E" w:rsidRPr="00CD511A" w:rsidRDefault="00A7457E" w:rsidP="003C58C0">
      <w:pPr>
        <w:spacing w:line="360" w:lineRule="auto"/>
        <w:rPr>
          <w:rFonts w:ascii="Open Sans SemiBold" w:eastAsia="Open Sans SemiBold" w:hAnsi="Open Sans SemiBold" w:cs="Open Sans SemiBold"/>
          <w:bCs/>
          <w:color w:val="003399"/>
          <w:szCs w:val="36"/>
          <w:lang w:eastAsia="ar-SA"/>
        </w:rPr>
      </w:pPr>
      <w:r w:rsidRPr="00CD511A">
        <w:rPr>
          <w:rFonts w:ascii="Open Sans SemiBold" w:eastAsia="Open Sans SemiBold" w:hAnsi="Open Sans SemiBold" w:cs="Open Sans SemiBold"/>
          <w:bCs/>
          <w:color w:val="003399"/>
          <w:szCs w:val="36"/>
          <w:lang w:eastAsia="ar-SA"/>
        </w:rPr>
        <w:t>Name of a project</w:t>
      </w:r>
    </w:p>
    <w:p w14:paraId="387B0EBB" w14:textId="0CCE9AF4" w:rsidR="00A7457E" w:rsidRPr="002755D9" w:rsidRDefault="00A7457E" w:rsidP="003C58C0">
      <w:pPr>
        <w:spacing w:line="360" w:lineRule="auto"/>
      </w:pPr>
      <w:r w:rsidRPr="002755D9">
        <w:t>It is recommended to use short</w:t>
      </w:r>
      <w:r w:rsidR="00843915" w:rsidRPr="002755D9">
        <w:t>,</w:t>
      </w:r>
      <w:r w:rsidRPr="002755D9">
        <w:t xml:space="preserve"> catchy project names</w:t>
      </w:r>
      <w:r w:rsidR="00C32F77" w:rsidRPr="002755D9">
        <w:t xml:space="preserve"> – </w:t>
      </w:r>
      <w:r w:rsidRPr="002755D9">
        <w:t xml:space="preserve">they are easier to remember and promote. It is </w:t>
      </w:r>
      <w:r w:rsidR="00843915" w:rsidRPr="002755D9">
        <w:t xml:space="preserve">also </w:t>
      </w:r>
      <w:r w:rsidRPr="002755D9">
        <w:t>recommended to use short names of projects due to the technical requirements of combining names with the Programme logo.</w:t>
      </w:r>
    </w:p>
    <w:p w14:paraId="63F0EE42" w14:textId="77777777" w:rsidR="00A7457E" w:rsidRPr="00CD511A" w:rsidRDefault="00A7457E" w:rsidP="003C58C0">
      <w:pPr>
        <w:spacing w:line="360" w:lineRule="auto"/>
        <w:rPr>
          <w:rFonts w:ascii="Open Sans SemiBold" w:eastAsia="Open Sans SemiBold" w:hAnsi="Open Sans SemiBold" w:cs="Open Sans SemiBold"/>
          <w:bCs/>
          <w:color w:val="003399"/>
          <w:szCs w:val="36"/>
          <w:lang w:eastAsia="ar-SA"/>
        </w:rPr>
      </w:pPr>
      <w:r w:rsidRPr="00CD511A">
        <w:rPr>
          <w:rFonts w:ascii="Open Sans SemiBold" w:eastAsia="Open Sans SemiBold" w:hAnsi="Open Sans SemiBold" w:cs="Open Sans SemiBold"/>
          <w:bCs/>
          <w:color w:val="003399"/>
          <w:szCs w:val="36"/>
          <w:lang w:eastAsia="ar-SA"/>
        </w:rPr>
        <w:t xml:space="preserve">Logotype of a project </w:t>
      </w:r>
    </w:p>
    <w:p w14:paraId="2CF15396" w14:textId="658AEFCC" w:rsidR="00A7457E" w:rsidRPr="002755D9" w:rsidRDefault="00A7457E" w:rsidP="003C58C0">
      <w:pPr>
        <w:spacing w:line="360" w:lineRule="auto"/>
      </w:pPr>
      <w:r w:rsidRPr="002755D9">
        <w:lastRenderedPageBreak/>
        <w:t xml:space="preserve">Partners can create logos for their projects. Project logos should be attached to the Programme logotype according to the guidelines in the </w:t>
      </w:r>
      <w:r w:rsidR="002755D9" w:rsidRPr="002755D9">
        <w:rPr>
          <w:rFonts w:ascii="Open Sans SemiBold" w:eastAsia="Open Sans SemiBold" w:hAnsi="Open Sans SemiBold" w:cs="Open Sans SemiBold"/>
          <w:bCs/>
          <w:color w:val="003399"/>
        </w:rPr>
        <w:t>Communication Guidelines for Beneficiaries.</w:t>
      </w:r>
    </w:p>
    <w:p w14:paraId="412073C4" w14:textId="77777777" w:rsidR="00A7457E" w:rsidRPr="002755D9" w:rsidRDefault="00A7457E" w:rsidP="003C58C0">
      <w:pPr>
        <w:spacing w:line="360" w:lineRule="auto"/>
      </w:pPr>
      <w:r w:rsidRPr="002755D9">
        <w:t>Whenever a project name or project logotype is used, the Programme logo should also be used.</w:t>
      </w:r>
    </w:p>
    <w:p w14:paraId="1F065CA8" w14:textId="3509F643" w:rsidR="00A7457E" w:rsidRPr="002755D9" w:rsidRDefault="00A7457E" w:rsidP="003C58C0">
      <w:pPr>
        <w:spacing w:line="360" w:lineRule="auto"/>
      </w:pPr>
      <w:r w:rsidRPr="002755D9">
        <w:t xml:space="preserve">No other visual elements should be added </w:t>
      </w:r>
      <w:r w:rsidR="00585378" w:rsidRPr="002755D9">
        <w:t>to</w:t>
      </w:r>
      <w:r w:rsidRPr="002755D9">
        <w:t xml:space="preserve"> the Programme logo and project/name area.</w:t>
      </w:r>
    </w:p>
    <w:p w14:paraId="3F0A6E11" w14:textId="3A96BB08" w:rsidR="00101BFB" w:rsidRDefault="009A06AC" w:rsidP="003C58C0">
      <w:pPr>
        <w:spacing w:line="360" w:lineRule="auto"/>
        <w:rPr>
          <w:rFonts w:ascii="Segoe UI" w:hAnsi="Segoe UI" w:cs="Segoe UI"/>
        </w:rPr>
      </w:pPr>
      <w:r>
        <w:rPr>
          <w:noProof/>
        </w:rPr>
        <w:drawing>
          <wp:inline distT="0" distB="0" distL="0" distR="0" wp14:anchorId="554A962D" wp14:editId="3E5CD516">
            <wp:extent cx="4477225" cy="1352550"/>
            <wp:effectExtent l="0" t="0" r="0" b="0"/>
            <wp:docPr id="1798744074" name="Picture 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744074" name="Picture 1" descr="Interreg South Baltic, blue flague with twelve gold starts, co-funded by the European Union"/>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523418" cy="1366505"/>
                    </a:xfrm>
                    <a:prstGeom prst="rect">
                      <a:avLst/>
                    </a:prstGeom>
                    <a:noFill/>
                    <a:ln>
                      <a:noFill/>
                    </a:ln>
                  </pic:spPr>
                </pic:pic>
              </a:graphicData>
            </a:graphic>
          </wp:inline>
        </w:drawing>
      </w:r>
    </w:p>
    <w:p w14:paraId="5B6E2925" w14:textId="417C46BD" w:rsidR="00A7457E" w:rsidRPr="002755D9" w:rsidRDefault="00A7457E" w:rsidP="003C58C0">
      <w:pPr>
        <w:spacing w:line="360" w:lineRule="auto"/>
      </w:pPr>
      <w:r w:rsidRPr="002755D9">
        <w:t xml:space="preserve">The project logos from previous editions of the Programme (2014–2020, 2007–2013) can still be used under the rules set out in the </w:t>
      </w:r>
      <w:r w:rsidR="002755D9" w:rsidRPr="002755D9">
        <w:rPr>
          <w:rFonts w:ascii="Open Sans SemiBold" w:eastAsia="Open Sans SemiBold" w:hAnsi="Open Sans SemiBold" w:cs="Open Sans SemiBold"/>
          <w:bCs/>
          <w:color w:val="003399"/>
        </w:rPr>
        <w:t>Communication Guidelines for Beneficiaries.</w:t>
      </w:r>
    </w:p>
    <w:p w14:paraId="2C2D53F3" w14:textId="77777777" w:rsidR="00A7457E" w:rsidRPr="00CD511A" w:rsidRDefault="00A7457E" w:rsidP="003C58C0">
      <w:pPr>
        <w:spacing w:line="360" w:lineRule="auto"/>
        <w:rPr>
          <w:rFonts w:ascii="Open Sans SemiBold" w:eastAsia="Open Sans SemiBold" w:hAnsi="Open Sans SemiBold" w:cs="Open Sans SemiBold"/>
          <w:bCs/>
          <w:color w:val="003399"/>
          <w:szCs w:val="36"/>
          <w:lang w:eastAsia="ar-SA"/>
        </w:rPr>
      </w:pPr>
      <w:r w:rsidRPr="00CD511A">
        <w:rPr>
          <w:rFonts w:ascii="Open Sans SemiBold" w:eastAsia="Open Sans SemiBold" w:hAnsi="Open Sans SemiBold" w:cs="Open Sans SemiBold"/>
          <w:bCs/>
          <w:color w:val="003399"/>
          <w:szCs w:val="36"/>
          <w:lang w:eastAsia="ar-SA"/>
        </w:rPr>
        <w:t>Colours and icons for EU support areas</w:t>
      </w:r>
    </w:p>
    <w:p w14:paraId="0BCD1436" w14:textId="26FF0D49" w:rsidR="00B72B35" w:rsidRPr="00152B91" w:rsidRDefault="00152B91" w:rsidP="003C58C0">
      <w:pPr>
        <w:spacing w:line="360" w:lineRule="auto"/>
      </w:pPr>
      <w:r w:rsidRPr="002755D9">
        <w:rPr>
          <w:rFonts w:ascii="Open Sans SemiBold" w:eastAsia="Open Sans SemiBold" w:hAnsi="Open Sans SemiBold" w:cs="Open Sans SemiBold"/>
          <w:bCs/>
          <w:noProof/>
          <w:color w:val="003399"/>
        </w:rPr>
        <mc:AlternateContent>
          <mc:Choice Requires="wps">
            <w:drawing>
              <wp:anchor distT="0" distB="0" distL="0" distR="0" simplePos="0" relativeHeight="251803135" behindDoc="1" locked="0" layoutInCell="1" allowOverlap="1" wp14:anchorId="0CC10ADF" wp14:editId="79A2BD47">
                <wp:simplePos x="0" y="0"/>
                <wp:positionH relativeFrom="margin">
                  <wp:align>right</wp:align>
                </wp:positionH>
                <wp:positionV relativeFrom="paragraph">
                  <wp:posOffset>527685</wp:posOffset>
                </wp:positionV>
                <wp:extent cx="5772150" cy="1095375"/>
                <wp:effectExtent l="0" t="0" r="19050" b="28575"/>
                <wp:wrapTopAndBottom/>
                <wp:docPr id="13602703" name="Textbox 1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1095375"/>
                        </a:xfrm>
                        <a:prstGeom prst="rect">
                          <a:avLst/>
                        </a:prstGeom>
                        <a:ln w="12700">
                          <a:solidFill>
                            <a:srgbClr val="003399"/>
                          </a:solidFill>
                          <a:prstDash val="solid"/>
                        </a:ln>
                      </wps:spPr>
                      <wps:txbx>
                        <w:txbxContent>
                          <w:p w14:paraId="2F884829" w14:textId="77777777" w:rsidR="00D06E84" w:rsidRPr="00CD511A" w:rsidRDefault="00152B91" w:rsidP="00805C22">
                            <w:pPr>
                              <w:pStyle w:val="BodyText"/>
                              <w:rPr>
                                <w:rFonts w:ascii="Open Sans" w:eastAsiaTheme="minorHAnsi" w:hAnsi="Open Sans" w:cstheme="minorBidi"/>
                                <w:b/>
                                <w:color w:val="auto"/>
                                <w:sz w:val="24"/>
                                <w:szCs w:val="22"/>
                                <w:lang w:eastAsia="en-US"/>
                              </w:rPr>
                            </w:pPr>
                            <w:r w:rsidRPr="00CD511A">
                              <w:rPr>
                                <w:rFonts w:ascii="Open Sans SemiBold" w:eastAsia="Open Sans SemiBold" w:hAnsi="Open Sans SemiBold" w:cs="Open Sans SemiBold"/>
                                <w:b/>
                                <w:color w:val="003399"/>
                                <w:sz w:val="24"/>
                                <w:szCs w:val="36"/>
                              </w:rPr>
                              <w:t>Note</w:t>
                            </w:r>
                            <w:r w:rsidRPr="00CD511A">
                              <w:rPr>
                                <w:rFonts w:ascii="Open Sans" w:eastAsiaTheme="minorHAnsi" w:hAnsi="Open Sans" w:cstheme="minorBidi"/>
                                <w:b/>
                                <w:color w:val="auto"/>
                                <w:sz w:val="24"/>
                                <w:szCs w:val="22"/>
                                <w:lang w:eastAsia="en-US"/>
                              </w:rPr>
                              <w:t xml:space="preserve">:  </w:t>
                            </w:r>
                          </w:p>
                          <w:p w14:paraId="08F1DA86" w14:textId="16F77D22" w:rsidR="00152B91" w:rsidRPr="00D23153" w:rsidRDefault="00152B91" w:rsidP="00805C22">
                            <w:pPr>
                              <w:pStyle w:val="BodyText"/>
                              <w:rPr>
                                <w:rFonts w:ascii="Open Sans ExtraBold" w:eastAsiaTheme="minorHAnsi" w:hAnsiTheme="minorHAnsi" w:cstheme="minorBidi"/>
                                <w:b/>
                                <w:color w:val="003399"/>
                                <w:spacing w:val="-2"/>
                                <w:sz w:val="24"/>
                                <w:szCs w:val="32"/>
                              </w:rPr>
                            </w:pPr>
                            <w:r w:rsidRPr="00CD511A">
                              <w:rPr>
                                <w:rFonts w:ascii="Open Sans" w:eastAsiaTheme="minorHAnsi" w:hAnsi="Open Sans" w:cstheme="minorBidi"/>
                                <w:color w:val="auto"/>
                                <w:sz w:val="24"/>
                                <w:szCs w:val="22"/>
                                <w:lang w:eastAsia="en-US"/>
                              </w:rPr>
                              <w:t>Details on the project’s communication plan and practical examples can be found in the</w:t>
                            </w:r>
                            <w:r w:rsidRPr="00D23153">
                              <w:rPr>
                                <w:rFonts w:eastAsia="Open Sans"/>
                                <w:sz w:val="24"/>
                                <w:szCs w:val="36"/>
                              </w:rPr>
                              <w:t xml:space="preserve"> </w:t>
                            </w:r>
                            <w:r w:rsidRPr="00D23153">
                              <w:rPr>
                                <w:rFonts w:ascii="Open Sans SemiBold" w:eastAsia="Open Sans SemiBold" w:hAnsi="Open Sans SemiBold" w:cs="Open Sans SemiBold"/>
                                <w:bCs/>
                                <w:color w:val="003399"/>
                                <w:sz w:val="24"/>
                                <w:szCs w:val="36"/>
                              </w:rPr>
                              <w:t>Communication Guidelines for Beneficiaries.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CC10ADF" id="_x0000_s1080" type="#_x0000_t202" alt="&quot;&quot;" style="position:absolute;margin-left:403.3pt;margin-top:41.55pt;width:454.5pt;height:86.25pt;z-index:-251513345;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" filled="f" strokecolor="#039" strokeweight="1pt">
                <v:path arrowok="t"/>
                <v:textbox inset="0,0,0,0">
                  <w:txbxContent>
                    <w:p w14:paraId="2F884829" w14:textId="77777777" w:rsidR="00D06E84" w:rsidRPr="00CD511A" w:rsidRDefault="00152B91" w:rsidP="00805C22">
                      <w:pPr>
                        <w:pStyle w:val="BodyText"/>
                        <w:rPr>
                          <w:rFonts w:ascii="Open Sans" w:eastAsiaTheme="minorHAnsi" w:hAnsi="Open Sans" w:cstheme="minorBidi"/>
                          <w:b/>
                          <w:color w:val="auto"/>
                          <w:sz w:val="24"/>
                          <w:szCs w:val="22"/>
                          <w:lang w:eastAsia="en-US"/>
                        </w:rPr>
                      </w:pPr>
                      <w:r w:rsidRPr="00CD511A">
                        <w:rPr>
                          <w:rFonts w:ascii="Open Sans SemiBold" w:eastAsia="Open Sans SemiBold" w:hAnsi="Open Sans SemiBold" w:cs="Open Sans SemiBold"/>
                          <w:b/>
                          <w:color w:val="003399"/>
                          <w:sz w:val="24"/>
                          <w:szCs w:val="36"/>
                        </w:rPr>
                        <w:t>Note</w:t>
                      </w:r>
                      <w:r w:rsidRPr="00CD511A">
                        <w:rPr>
                          <w:rFonts w:ascii="Open Sans" w:eastAsiaTheme="minorHAnsi" w:hAnsi="Open Sans" w:cstheme="minorBidi"/>
                          <w:b/>
                          <w:color w:val="auto"/>
                          <w:sz w:val="24"/>
                          <w:szCs w:val="22"/>
                          <w:lang w:eastAsia="en-US"/>
                        </w:rPr>
                        <w:t xml:space="preserve">:  </w:t>
                      </w:r>
                    </w:p>
                    <w:p w14:paraId="08F1DA86" w14:textId="16F77D22" w:rsidR="00152B91" w:rsidRPr="00D23153" w:rsidRDefault="00152B91" w:rsidP="00805C22">
                      <w:pPr>
                        <w:pStyle w:val="BodyText"/>
                        <w:rPr>
                          <w:rFonts w:ascii="Open Sans ExtraBold" w:eastAsiaTheme="minorHAnsi" w:hAnsiTheme="minorHAnsi" w:cstheme="minorBidi"/>
                          <w:b/>
                          <w:color w:val="003399"/>
                          <w:spacing w:val="-2"/>
                          <w:sz w:val="24"/>
                          <w:szCs w:val="32"/>
                        </w:rPr>
                      </w:pPr>
                      <w:r w:rsidRPr="00CD511A">
                        <w:rPr>
                          <w:rFonts w:ascii="Open Sans" w:eastAsiaTheme="minorHAnsi" w:hAnsi="Open Sans" w:cstheme="minorBidi"/>
                          <w:color w:val="auto"/>
                          <w:sz w:val="24"/>
                          <w:szCs w:val="22"/>
                          <w:lang w:eastAsia="en-US"/>
                        </w:rPr>
                        <w:t>Details on the project’s communication plan and practical examples can be found in the</w:t>
                      </w:r>
                      <w:r w:rsidRPr="00D23153">
                        <w:rPr>
                          <w:rFonts w:eastAsia="Open Sans"/>
                          <w:sz w:val="24"/>
                          <w:szCs w:val="36"/>
                        </w:rPr>
                        <w:t xml:space="preserve"> </w:t>
                      </w:r>
                      <w:r w:rsidRPr="00D23153">
                        <w:rPr>
                          <w:rFonts w:ascii="Open Sans SemiBold" w:eastAsia="Open Sans SemiBold" w:hAnsi="Open Sans SemiBold" w:cs="Open Sans SemiBold"/>
                          <w:bCs/>
                          <w:color w:val="003399"/>
                          <w:sz w:val="24"/>
                          <w:szCs w:val="36"/>
                        </w:rPr>
                        <w:t>Communication Guidelines for Beneficiaries.</w:t>
                      </w:r>
                    </w:p>
                  </w:txbxContent>
                </v:textbox>
                <w10:wrap type="topAndBottom" anchorx="margin"/>
              </v:shape>
            </w:pict>
          </mc:Fallback>
        </mc:AlternateContent>
      </w:r>
      <w:r w:rsidR="00A7457E" w:rsidRPr="002755D9">
        <w:t>To graphically present the areas of EU support, specially prepared icons in different colo</w:t>
      </w:r>
      <w:r w:rsidR="006910EC" w:rsidRPr="002755D9">
        <w:t>u</w:t>
      </w:r>
      <w:r w:rsidR="00C66C15" w:rsidRPr="002755D9">
        <w:t>r</w:t>
      </w:r>
      <w:r w:rsidR="00A7457E" w:rsidRPr="002755D9">
        <w:t xml:space="preserve">s can be used. </w:t>
      </w:r>
    </w:p>
    <w:p w14:paraId="27D8D6CF" w14:textId="789F2489" w:rsidR="002F6B09" w:rsidRPr="001E7CD9" w:rsidRDefault="001A7C11" w:rsidP="003C58C0">
      <w:pPr>
        <w:pStyle w:val="Heading2"/>
        <w:spacing w:line="360" w:lineRule="auto"/>
      </w:pPr>
      <w:bookmarkStart w:id="165" w:name="_Toc147242461"/>
      <w:r w:rsidRPr="001E7CD9">
        <w:t>4</w:t>
      </w:r>
      <w:r w:rsidR="00DD46BD" w:rsidRPr="001E7CD9">
        <w:t xml:space="preserve"> CHANGES DURING PROJECT IMPLEMENTATION</w:t>
      </w:r>
      <w:bookmarkEnd w:id="165"/>
    </w:p>
    <w:p w14:paraId="2BE2804F" w14:textId="11791727" w:rsidR="00DD46BD" w:rsidRPr="001E7CD9" w:rsidRDefault="00DD46BD" w:rsidP="003C58C0">
      <w:pPr>
        <w:spacing w:line="360" w:lineRule="auto"/>
      </w:pPr>
      <w:r w:rsidRPr="001E7CD9">
        <w:t xml:space="preserve">As a predominant rule, each project should be planned thoroughly and implemented in line with the approved </w:t>
      </w:r>
      <w:r w:rsidR="00A34E28" w:rsidRPr="001E7CD9">
        <w:t>A</w:t>
      </w:r>
      <w:r w:rsidRPr="001E7CD9">
        <w:t xml:space="preserve">pplication </w:t>
      </w:r>
      <w:r w:rsidR="00A34E28" w:rsidRPr="001E7CD9">
        <w:t>F</w:t>
      </w:r>
      <w:r w:rsidRPr="001E7CD9">
        <w:t xml:space="preserve">orm and </w:t>
      </w:r>
      <w:r w:rsidR="005563DF" w:rsidRPr="001E7CD9">
        <w:t xml:space="preserve">the </w:t>
      </w:r>
      <w:r w:rsidRPr="001E7CD9">
        <w:t xml:space="preserve">Subsidy </w:t>
      </w:r>
      <w:r w:rsidRPr="001E7CD9">
        <w:lastRenderedPageBreak/>
        <w:t>Contract. However,</w:t>
      </w:r>
      <w:r w:rsidR="0042750E" w:rsidRPr="001E7CD9">
        <w:t xml:space="preserve"> during the </w:t>
      </w:r>
      <w:r w:rsidRPr="001E7CD9">
        <w:t xml:space="preserve">implementation, projects might meet challenges that require changes to the project set-up. </w:t>
      </w:r>
    </w:p>
    <w:p w14:paraId="5809161F" w14:textId="4E049D3E" w:rsidR="00D06E84" w:rsidRDefault="00DD46BD" w:rsidP="003C58C0">
      <w:pPr>
        <w:spacing w:line="360" w:lineRule="auto"/>
      </w:pPr>
      <w:r w:rsidRPr="001E7CD9">
        <w:t xml:space="preserve">The changes can be divided into the following </w:t>
      </w:r>
      <w:r w:rsidR="009342D1" w:rsidRPr="001E7CD9">
        <w:t>types</w:t>
      </w:r>
      <w:r w:rsidRPr="001E7CD9">
        <w:t>, which require different procedures to be followed</w:t>
      </w:r>
      <w:r w:rsidR="00E40EA5" w:rsidRPr="001E7CD9">
        <w:t>.</w:t>
      </w:r>
    </w:p>
    <w:p w14:paraId="216FEFFB" w14:textId="06224250" w:rsidR="001E7CD9" w:rsidRPr="00D42B74" w:rsidRDefault="00E40EA5" w:rsidP="003C58C0">
      <w:pPr>
        <w:spacing w:line="360" w:lineRule="auto"/>
      </w:pPr>
      <w:r w:rsidRPr="00D42B74">
        <w:t>Table 4 Types of changes in projects</w:t>
      </w:r>
    </w:p>
    <w:tbl>
      <w:tblPr>
        <w:tblStyle w:val="TableNormal1"/>
        <w:tblpPr w:leftFromText="180" w:rightFromText="180" w:vertAnchor="text" w:horzAnchor="margin" w:tblpY="305"/>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Types of changes in projects"/>
        <w:tblDescription w:val="Deviations:&#10;• Nature of the change: Has no impact on the project outputs and results • Change to be approved by: Lead Partner (no prior approval from Programme bodies)&#10;• How to inform about the change? To be reported in the project progress report once it is applied&#10;• Project documentation to be changed: Changes to the Application Form may be required, SL2021 authorisation document, if relevant.&#10;Project changes:&#10;• Nature of the change: May affect project outputs and results&#10;• Change to be approved by: Joint Secretariat&#10;• How to inform about the change? Submission of a Request for change (and budget reallocation tool, if relevant) through the SL2021 system). Additional documents may be requested by the JS, depending on the type of change (e.g., de minimis-related documents, partner declarations) A complete and correct documentation necessary to proceed with the request for change must be submitted to the Joint Secretariat at least two months before the project completion date, as specified in the Subsidy Contract. Requests submitted at a later date may be rejected without being taken into consideration.&#10;• Project documentation to be changed: Changes to the Application Form Annex to the Subsidy Contract for any project prolongation. Where changes require an annex to the project Subsidy Contract, the annex must be signed during the project implementation period defined in the Subsidy Contract. All the changes to the Subsidy Contract provisions (Annexes) and/or Application Form are registered by the Joint Secretariat.&#10;Major project changes:&#10;• Nature of the change: May significantly affect project outputs and results&#10;• Change to be approved by: Monitoring Committee&#10;• How to inform about the change? Submission of a Request for change (and budget reallocation tool, if relevant) through the SL2021 system). Additional documents may be requested by the JS, depending on the type of change (e.g., de minimis-related documents, partner declarations) A complete and correct documentation necessary to proceed with the request for change must be submitted to the Joint Secretariat at least two months before the project completion date, as specified in the Subsidy Contract. Requests submitted at a later date may be rejected without being taken into consideration.&#10;• Project documentation to be changed: Changes to the Application Form. Annex to the Subsidy Contract* required in certain cases. Where changes require an annex to the project Subsidy Contract, the annex must be signed during the project implementation period defined in the Subsidy Contract. All the changes to the Subsidy Contract provisions (Annexes) and/or Application Form are registered by the Joint Secretariat."/>
      </w:tblPr>
      <w:tblGrid>
        <w:gridCol w:w="2055"/>
        <w:gridCol w:w="2070"/>
        <w:gridCol w:w="2160"/>
        <w:gridCol w:w="2790"/>
      </w:tblGrid>
      <w:tr w:rsidR="001E7CD9" w:rsidRPr="001E7CD9" w14:paraId="2B9A5F33" w14:textId="77777777" w:rsidTr="00CD511A">
        <w:trPr>
          <w:trHeight w:val="432"/>
          <w:tblHeader/>
        </w:trPr>
        <w:tc>
          <w:tcPr>
            <w:tcW w:w="2055" w:type="dxa"/>
            <w:tcBorders>
              <w:left w:val="single" w:sz="12" w:space="0" w:color="003399"/>
              <w:bottom w:val="single" w:sz="12" w:space="0" w:color="003399"/>
              <w:right w:val="single" w:sz="12" w:space="0" w:color="003399"/>
            </w:tcBorders>
          </w:tcPr>
          <w:p w14:paraId="3C37038F" w14:textId="5284F3A6" w:rsidR="001E7CD9" w:rsidRPr="004736DC" w:rsidRDefault="001E7CD9" w:rsidP="003C58C0">
            <w:pPr>
              <w:pStyle w:val="TableParagraph"/>
              <w:spacing w:line="360" w:lineRule="auto"/>
            </w:pPr>
          </w:p>
        </w:tc>
        <w:tc>
          <w:tcPr>
            <w:tcW w:w="2070" w:type="dxa"/>
            <w:tcBorders>
              <w:left w:val="single" w:sz="12" w:space="0" w:color="003399"/>
              <w:bottom w:val="single" w:sz="12" w:space="0" w:color="003399"/>
              <w:right w:val="single" w:sz="12" w:space="0" w:color="003399"/>
            </w:tcBorders>
          </w:tcPr>
          <w:p w14:paraId="1C47C13B" w14:textId="0AE4FCA3" w:rsidR="001E7CD9" w:rsidRPr="004736DC" w:rsidRDefault="001E7CD9" w:rsidP="003C58C0">
            <w:pPr>
              <w:pStyle w:val="TableParagraph"/>
              <w:spacing w:line="360" w:lineRule="auto"/>
            </w:pPr>
            <w:r>
              <w:t>Deviations</w:t>
            </w:r>
          </w:p>
        </w:tc>
        <w:tc>
          <w:tcPr>
            <w:tcW w:w="2160" w:type="dxa"/>
            <w:tcBorders>
              <w:left w:val="single" w:sz="12" w:space="0" w:color="003399"/>
              <w:bottom w:val="single" w:sz="12" w:space="0" w:color="003399"/>
              <w:right w:val="single" w:sz="12" w:space="0" w:color="003399"/>
            </w:tcBorders>
          </w:tcPr>
          <w:p w14:paraId="44CF026D" w14:textId="6EC212CF" w:rsidR="001E7CD9" w:rsidRPr="004736DC" w:rsidRDefault="001E7CD9" w:rsidP="003C58C0">
            <w:pPr>
              <w:pStyle w:val="TableParagraph"/>
              <w:spacing w:line="360" w:lineRule="auto"/>
            </w:pPr>
            <w:r>
              <w:t>Project changes</w:t>
            </w:r>
          </w:p>
        </w:tc>
        <w:tc>
          <w:tcPr>
            <w:tcW w:w="2790" w:type="dxa"/>
            <w:tcBorders>
              <w:left w:val="single" w:sz="12" w:space="0" w:color="003399"/>
              <w:bottom w:val="single" w:sz="12" w:space="0" w:color="003399"/>
              <w:right w:val="single" w:sz="12" w:space="0" w:color="003399"/>
            </w:tcBorders>
          </w:tcPr>
          <w:p w14:paraId="25904B02" w14:textId="083BDBED" w:rsidR="001E7CD9" w:rsidRPr="004736DC" w:rsidRDefault="001E7CD9" w:rsidP="003C58C0">
            <w:pPr>
              <w:pStyle w:val="TableParagraph"/>
              <w:spacing w:line="360" w:lineRule="auto"/>
            </w:pPr>
            <w:r>
              <w:t>Major project changes</w:t>
            </w:r>
          </w:p>
        </w:tc>
      </w:tr>
      <w:tr w:rsidR="001E7CD9" w:rsidRPr="00805C22" w14:paraId="39B6DE33" w14:textId="77777777" w:rsidTr="00493530">
        <w:trPr>
          <w:trHeight w:val="1226"/>
        </w:trPr>
        <w:tc>
          <w:tcPr>
            <w:tcW w:w="2055" w:type="dxa"/>
            <w:tcBorders>
              <w:top w:val="single" w:sz="12" w:space="0" w:color="003399"/>
              <w:left w:val="single" w:sz="12" w:space="0" w:color="003399"/>
              <w:bottom w:val="single" w:sz="12" w:space="0" w:color="003399"/>
              <w:right w:val="single" w:sz="12" w:space="0" w:color="003399"/>
            </w:tcBorders>
          </w:tcPr>
          <w:p w14:paraId="5C42E857" w14:textId="5CC22AA6" w:rsidR="001E7CD9" w:rsidRPr="001E7CD9" w:rsidRDefault="001E7CD9" w:rsidP="003C58C0">
            <w:pPr>
              <w:pStyle w:val="TableParagraph"/>
              <w:spacing w:line="360" w:lineRule="auto"/>
              <w:rPr>
                <w:w w:val="105"/>
              </w:rPr>
            </w:pPr>
            <w:r w:rsidRPr="001E7CD9">
              <w:rPr>
                <w:w w:val="105"/>
              </w:rPr>
              <w:t>Nature of the change</w:t>
            </w:r>
          </w:p>
        </w:tc>
        <w:tc>
          <w:tcPr>
            <w:tcW w:w="2070" w:type="dxa"/>
            <w:tcBorders>
              <w:top w:val="single" w:sz="12" w:space="0" w:color="003399"/>
              <w:left w:val="single" w:sz="12" w:space="0" w:color="003399"/>
              <w:bottom w:val="single" w:sz="12" w:space="0" w:color="003399"/>
              <w:right w:val="single" w:sz="12" w:space="0" w:color="003399"/>
            </w:tcBorders>
          </w:tcPr>
          <w:p w14:paraId="5246BC53" w14:textId="4BE21BA7" w:rsidR="001E7CD9" w:rsidRPr="004736DC" w:rsidRDefault="001E7CD9" w:rsidP="003C58C0">
            <w:pPr>
              <w:pStyle w:val="TableParagraph"/>
              <w:spacing w:line="360" w:lineRule="auto"/>
            </w:pPr>
            <w:r w:rsidRPr="00C52D95">
              <w:t xml:space="preserve">Has no impact on the project outputs and results </w:t>
            </w:r>
          </w:p>
        </w:tc>
        <w:tc>
          <w:tcPr>
            <w:tcW w:w="2160" w:type="dxa"/>
            <w:tcBorders>
              <w:top w:val="single" w:sz="12" w:space="0" w:color="003399"/>
              <w:left w:val="single" w:sz="12" w:space="0" w:color="003399"/>
              <w:bottom w:val="single" w:sz="12" w:space="0" w:color="003399"/>
              <w:right w:val="single" w:sz="12" w:space="0" w:color="003399"/>
            </w:tcBorders>
          </w:tcPr>
          <w:p w14:paraId="2294A0C9" w14:textId="3C4BACCF" w:rsidR="001E7CD9" w:rsidRPr="004736DC" w:rsidRDefault="001E7CD9" w:rsidP="003C58C0">
            <w:pPr>
              <w:pStyle w:val="TableParagraph"/>
              <w:spacing w:line="360" w:lineRule="auto"/>
            </w:pPr>
            <w:r w:rsidRPr="00C52D95">
              <w:t>May affect project outputs and results</w:t>
            </w:r>
          </w:p>
        </w:tc>
        <w:tc>
          <w:tcPr>
            <w:tcW w:w="2790" w:type="dxa"/>
            <w:tcBorders>
              <w:top w:val="single" w:sz="12" w:space="0" w:color="003399"/>
              <w:left w:val="single" w:sz="12" w:space="0" w:color="003399"/>
              <w:bottom w:val="single" w:sz="12" w:space="0" w:color="003399"/>
              <w:right w:val="single" w:sz="12" w:space="0" w:color="003399"/>
            </w:tcBorders>
          </w:tcPr>
          <w:p w14:paraId="0DD83005" w14:textId="3E31648E" w:rsidR="001E7CD9" w:rsidRPr="004736DC" w:rsidRDefault="001E7CD9" w:rsidP="003C58C0">
            <w:pPr>
              <w:pStyle w:val="TableParagraph"/>
              <w:spacing w:line="360" w:lineRule="auto"/>
            </w:pPr>
            <w:r w:rsidRPr="00C52D95">
              <w:t>May significantly affect project outputs and results</w:t>
            </w:r>
          </w:p>
        </w:tc>
      </w:tr>
      <w:tr w:rsidR="001E7CD9" w:rsidRPr="001E7CD9" w14:paraId="52DDF647" w14:textId="77777777" w:rsidTr="00493530">
        <w:trPr>
          <w:trHeight w:val="1226"/>
        </w:trPr>
        <w:tc>
          <w:tcPr>
            <w:tcW w:w="2055" w:type="dxa"/>
            <w:tcBorders>
              <w:top w:val="single" w:sz="12" w:space="0" w:color="003399"/>
              <w:left w:val="single" w:sz="12" w:space="0" w:color="003399"/>
              <w:bottom w:val="single" w:sz="12" w:space="0" w:color="003399"/>
              <w:right w:val="single" w:sz="12" w:space="0" w:color="003399"/>
            </w:tcBorders>
          </w:tcPr>
          <w:p w14:paraId="37770EB7" w14:textId="38D589A4" w:rsidR="001E7CD9" w:rsidRPr="001E7CD9" w:rsidRDefault="001E7CD9" w:rsidP="003C58C0">
            <w:pPr>
              <w:pStyle w:val="TableParagraph"/>
              <w:spacing w:line="360" w:lineRule="auto"/>
              <w:rPr>
                <w:w w:val="105"/>
              </w:rPr>
            </w:pPr>
            <w:r w:rsidRPr="001E7CD9">
              <w:rPr>
                <w:w w:val="105"/>
              </w:rPr>
              <w:t>Change to be approved by</w:t>
            </w:r>
          </w:p>
        </w:tc>
        <w:tc>
          <w:tcPr>
            <w:tcW w:w="2070" w:type="dxa"/>
            <w:tcBorders>
              <w:top w:val="single" w:sz="12" w:space="0" w:color="003399"/>
              <w:left w:val="single" w:sz="12" w:space="0" w:color="003399"/>
              <w:bottom w:val="single" w:sz="12" w:space="0" w:color="003399"/>
              <w:right w:val="single" w:sz="12" w:space="0" w:color="003399"/>
            </w:tcBorders>
          </w:tcPr>
          <w:p w14:paraId="49BC2C63" w14:textId="47F7CFEB" w:rsidR="001E7CD9" w:rsidRPr="004736DC" w:rsidRDefault="001E7CD9" w:rsidP="003C58C0">
            <w:pPr>
              <w:pStyle w:val="TableParagraph"/>
              <w:spacing w:line="360" w:lineRule="auto"/>
            </w:pPr>
            <w:r w:rsidRPr="00C52D95">
              <w:t>Lead partner (no prior approval from Programme bodies)</w:t>
            </w:r>
          </w:p>
        </w:tc>
        <w:tc>
          <w:tcPr>
            <w:tcW w:w="2160" w:type="dxa"/>
            <w:tcBorders>
              <w:top w:val="single" w:sz="12" w:space="0" w:color="003399"/>
              <w:left w:val="single" w:sz="12" w:space="0" w:color="003399"/>
              <w:bottom w:val="single" w:sz="12" w:space="0" w:color="003399"/>
              <w:right w:val="single" w:sz="12" w:space="0" w:color="003399"/>
            </w:tcBorders>
          </w:tcPr>
          <w:p w14:paraId="16A5D88F" w14:textId="08F0420A" w:rsidR="001E7CD9" w:rsidRPr="004736DC" w:rsidRDefault="001E7CD9" w:rsidP="003C58C0">
            <w:pPr>
              <w:pStyle w:val="TableParagraph"/>
              <w:spacing w:line="360" w:lineRule="auto"/>
            </w:pPr>
            <w:r w:rsidRPr="00C52D95">
              <w:t>Joint Secretariat</w:t>
            </w:r>
          </w:p>
        </w:tc>
        <w:tc>
          <w:tcPr>
            <w:tcW w:w="2790" w:type="dxa"/>
            <w:tcBorders>
              <w:top w:val="single" w:sz="12" w:space="0" w:color="003399"/>
              <w:left w:val="single" w:sz="12" w:space="0" w:color="003399"/>
              <w:bottom w:val="single" w:sz="12" w:space="0" w:color="003399"/>
              <w:right w:val="single" w:sz="12" w:space="0" w:color="003399"/>
            </w:tcBorders>
          </w:tcPr>
          <w:p w14:paraId="6D7C4131" w14:textId="7649AADC" w:rsidR="001E7CD9" w:rsidRPr="00EE1E5A" w:rsidRDefault="001E7CD9" w:rsidP="003C58C0">
            <w:pPr>
              <w:pStyle w:val="TableParagraph"/>
              <w:spacing w:line="360" w:lineRule="auto"/>
            </w:pPr>
            <w:r w:rsidRPr="00C52D95">
              <w:t>Monitoring</w:t>
            </w:r>
            <w:r w:rsidR="00D06E84">
              <w:t xml:space="preserve"> </w:t>
            </w:r>
            <w:r w:rsidRPr="00C52D95">
              <w:t xml:space="preserve">Committee </w:t>
            </w:r>
          </w:p>
        </w:tc>
      </w:tr>
      <w:tr w:rsidR="001E7CD9" w:rsidRPr="00805C22" w14:paraId="2A5E376B" w14:textId="77777777" w:rsidTr="00493530">
        <w:trPr>
          <w:trHeight w:val="3833"/>
        </w:trPr>
        <w:tc>
          <w:tcPr>
            <w:tcW w:w="2055" w:type="dxa"/>
            <w:tcBorders>
              <w:top w:val="single" w:sz="12" w:space="0" w:color="003399"/>
              <w:left w:val="single" w:sz="12" w:space="0" w:color="003399"/>
              <w:bottom w:val="single" w:sz="12" w:space="0" w:color="003399"/>
              <w:right w:val="single" w:sz="12" w:space="0" w:color="003399"/>
            </w:tcBorders>
          </w:tcPr>
          <w:p w14:paraId="35385F6A" w14:textId="1467CE29" w:rsidR="001E7CD9" w:rsidRPr="001E7CD9" w:rsidRDefault="001E7CD9" w:rsidP="003C58C0">
            <w:pPr>
              <w:pStyle w:val="TableParagraph"/>
              <w:spacing w:line="360" w:lineRule="auto"/>
              <w:rPr>
                <w:w w:val="105"/>
              </w:rPr>
            </w:pPr>
            <w:r w:rsidRPr="001E7CD9">
              <w:rPr>
                <w:w w:val="105"/>
              </w:rPr>
              <w:t xml:space="preserve">How to inform about the change? </w:t>
            </w:r>
          </w:p>
        </w:tc>
        <w:tc>
          <w:tcPr>
            <w:tcW w:w="2070" w:type="dxa"/>
            <w:tcBorders>
              <w:top w:val="single" w:sz="12" w:space="0" w:color="003399"/>
              <w:left w:val="single" w:sz="12" w:space="0" w:color="003399"/>
              <w:bottom w:val="single" w:sz="12" w:space="0" w:color="003399"/>
              <w:right w:val="single" w:sz="12" w:space="0" w:color="003399"/>
            </w:tcBorders>
          </w:tcPr>
          <w:p w14:paraId="4EB13C0D" w14:textId="7E943EB7" w:rsidR="001E7CD9" w:rsidRPr="004736DC" w:rsidRDefault="001E7CD9" w:rsidP="003C58C0">
            <w:pPr>
              <w:pStyle w:val="TableParagraph"/>
              <w:spacing w:line="360" w:lineRule="auto"/>
            </w:pPr>
            <w:r w:rsidRPr="001E7CD9">
              <w:t>To be reported in the project progress report once it is applied</w:t>
            </w:r>
          </w:p>
        </w:tc>
        <w:tc>
          <w:tcPr>
            <w:tcW w:w="4950" w:type="dxa"/>
            <w:gridSpan w:val="2"/>
            <w:tcBorders>
              <w:top w:val="single" w:sz="12" w:space="0" w:color="003399"/>
              <w:left w:val="single" w:sz="12" w:space="0" w:color="003399"/>
              <w:bottom w:val="single" w:sz="12" w:space="0" w:color="003399"/>
              <w:right w:val="single" w:sz="12" w:space="0" w:color="003399"/>
            </w:tcBorders>
          </w:tcPr>
          <w:p w14:paraId="4F8D1B64" w14:textId="77777777" w:rsidR="001E7CD9" w:rsidRPr="00C52D95" w:rsidRDefault="00C52D95" w:rsidP="003C58C0">
            <w:pPr>
              <w:pStyle w:val="TableParagraph"/>
              <w:spacing w:line="360" w:lineRule="auto"/>
            </w:pPr>
            <w:r w:rsidRPr="00C52D95">
              <w:t>Submission of a Request for change (and budget reallocation tool, if relevant) through the SL2021 system)</w:t>
            </w:r>
          </w:p>
          <w:p w14:paraId="7360B8C2" w14:textId="0BB9A6CE" w:rsidR="00C52D95" w:rsidRPr="00C52D95" w:rsidRDefault="00C52D95" w:rsidP="003C58C0">
            <w:pPr>
              <w:spacing w:line="360" w:lineRule="auto"/>
            </w:pPr>
            <w:r w:rsidRPr="00C52D95">
              <w:t>Additional documents may be requested by the JS, depending on the type of change (e.g., de minimis-related documents, partner declarations).</w:t>
            </w:r>
          </w:p>
          <w:p w14:paraId="0710CB91" w14:textId="45173793" w:rsidR="00C52D95" w:rsidRPr="00C52D95" w:rsidRDefault="00C52D95" w:rsidP="003C58C0">
            <w:pPr>
              <w:spacing w:line="360" w:lineRule="auto"/>
            </w:pPr>
            <w:r w:rsidRPr="00C52D95">
              <w:t xml:space="preserve">The complete and correct documentation necessary to proceed with the request for change must be submitted to the Joint Secretariat at least two months before the </w:t>
            </w:r>
            <w:r w:rsidRPr="00C52D95">
              <w:lastRenderedPageBreak/>
              <w:t>project completion date, as specified in the Subsidy Contract. Requests submitted at a later date may be rejected without being taken into consideration.</w:t>
            </w:r>
          </w:p>
        </w:tc>
      </w:tr>
      <w:tr w:rsidR="00C52D95" w:rsidRPr="00805C22" w14:paraId="2390C915" w14:textId="77777777" w:rsidTr="00493530">
        <w:trPr>
          <w:trHeight w:val="2594"/>
        </w:trPr>
        <w:tc>
          <w:tcPr>
            <w:tcW w:w="2055" w:type="dxa"/>
            <w:tcBorders>
              <w:top w:val="single" w:sz="12" w:space="0" w:color="003399"/>
              <w:left w:val="single" w:sz="12" w:space="0" w:color="003399"/>
              <w:bottom w:val="single" w:sz="12" w:space="0" w:color="003399"/>
              <w:right w:val="single" w:sz="12" w:space="0" w:color="003399"/>
            </w:tcBorders>
          </w:tcPr>
          <w:p w14:paraId="7B80DF7F" w14:textId="730E2FF1" w:rsidR="00C52D95" w:rsidRPr="001E7CD9" w:rsidRDefault="00C52D95" w:rsidP="003C58C0">
            <w:pPr>
              <w:pStyle w:val="TableParagraph"/>
              <w:spacing w:line="360" w:lineRule="auto"/>
              <w:rPr>
                <w:w w:val="105"/>
              </w:rPr>
            </w:pPr>
            <w:r w:rsidRPr="001E7CD9">
              <w:rPr>
                <w:w w:val="105"/>
              </w:rPr>
              <w:lastRenderedPageBreak/>
              <w:t>Project documentation to be changed</w:t>
            </w:r>
          </w:p>
        </w:tc>
        <w:tc>
          <w:tcPr>
            <w:tcW w:w="2070" w:type="dxa"/>
            <w:tcBorders>
              <w:top w:val="single" w:sz="12" w:space="0" w:color="003399"/>
              <w:left w:val="single" w:sz="12" w:space="0" w:color="003399"/>
              <w:bottom w:val="single" w:sz="12" w:space="0" w:color="003399"/>
              <w:right w:val="single" w:sz="12" w:space="0" w:color="003399"/>
            </w:tcBorders>
          </w:tcPr>
          <w:p w14:paraId="69C43DF5" w14:textId="1024D6FA" w:rsidR="0078661F" w:rsidRDefault="00C52D95" w:rsidP="003C58C0">
            <w:pPr>
              <w:pStyle w:val="TableParagraph"/>
              <w:spacing w:line="360" w:lineRule="auto"/>
            </w:pPr>
            <w:r w:rsidRPr="00C52D95">
              <w:t>Changes to the Application Form may be required, SL2021 authorisation</w:t>
            </w:r>
            <w:r w:rsidR="00D06E84">
              <w:t xml:space="preserve"> </w:t>
            </w:r>
            <w:r w:rsidRPr="00C52D95">
              <w:t xml:space="preserve">document, </w:t>
            </w:r>
          </w:p>
          <w:p w14:paraId="1A0B01B7" w14:textId="3B81486C" w:rsidR="00C52D95" w:rsidRPr="004736DC" w:rsidRDefault="00C52D95" w:rsidP="003C58C0">
            <w:pPr>
              <w:pStyle w:val="TableParagraph"/>
              <w:spacing w:line="360" w:lineRule="auto"/>
            </w:pPr>
            <w:r w:rsidRPr="00C52D95">
              <w:t>if relevant.</w:t>
            </w:r>
          </w:p>
        </w:tc>
        <w:tc>
          <w:tcPr>
            <w:tcW w:w="2160" w:type="dxa"/>
            <w:tcBorders>
              <w:top w:val="single" w:sz="12" w:space="0" w:color="003399"/>
              <w:left w:val="single" w:sz="12" w:space="0" w:color="003399"/>
              <w:bottom w:val="single" w:sz="12" w:space="0" w:color="003399"/>
              <w:right w:val="single" w:sz="12" w:space="0" w:color="003399"/>
            </w:tcBorders>
          </w:tcPr>
          <w:p w14:paraId="796F982A" w14:textId="37174803" w:rsidR="00C52D95" w:rsidRPr="00C52D95" w:rsidRDefault="00C52D95" w:rsidP="003C58C0">
            <w:pPr>
              <w:pStyle w:val="TableParagraph"/>
              <w:spacing w:line="360" w:lineRule="auto"/>
            </w:pPr>
            <w:r w:rsidRPr="00C52D95">
              <w:t>Changes to the Application Form.</w:t>
            </w:r>
          </w:p>
          <w:p w14:paraId="5D523DBC" w14:textId="77777777" w:rsidR="00C52D95" w:rsidRPr="00C52D95" w:rsidRDefault="00C52D95" w:rsidP="003C58C0">
            <w:pPr>
              <w:pStyle w:val="TableParagraph"/>
              <w:spacing w:line="360" w:lineRule="auto"/>
            </w:pPr>
          </w:p>
          <w:p w14:paraId="334D7B02" w14:textId="492D83E9" w:rsidR="00C52D95" w:rsidRPr="004736DC" w:rsidRDefault="00C52D95" w:rsidP="003C58C0">
            <w:pPr>
              <w:pStyle w:val="TableParagraph"/>
              <w:spacing w:line="360" w:lineRule="auto"/>
            </w:pPr>
            <w:r w:rsidRPr="00C52D95">
              <w:t>Annex to the Subsidy Contract* for any project prolongation.</w:t>
            </w:r>
          </w:p>
        </w:tc>
        <w:tc>
          <w:tcPr>
            <w:tcW w:w="2790" w:type="dxa"/>
            <w:tcBorders>
              <w:top w:val="single" w:sz="12" w:space="0" w:color="003399"/>
              <w:left w:val="single" w:sz="12" w:space="0" w:color="003399"/>
              <w:bottom w:val="single" w:sz="12" w:space="0" w:color="003399"/>
              <w:right w:val="single" w:sz="12" w:space="0" w:color="003399"/>
            </w:tcBorders>
          </w:tcPr>
          <w:p w14:paraId="44B02DC7" w14:textId="77777777" w:rsidR="00C52D95" w:rsidRPr="00C52D95" w:rsidRDefault="00C52D95" w:rsidP="003C58C0">
            <w:pPr>
              <w:pStyle w:val="TableParagraph"/>
              <w:spacing w:line="360" w:lineRule="auto"/>
            </w:pPr>
            <w:r w:rsidRPr="00C52D95">
              <w:t>Changes to the Application Form may be required, SL2021 authorisation document, if relevant.</w:t>
            </w:r>
          </w:p>
          <w:p w14:paraId="637B45F1" w14:textId="77777777" w:rsidR="00C52D95" w:rsidRPr="00C52D95" w:rsidRDefault="00C52D95" w:rsidP="003C58C0">
            <w:pPr>
              <w:pStyle w:val="TableParagraph"/>
              <w:spacing w:line="360" w:lineRule="auto"/>
            </w:pPr>
          </w:p>
          <w:p w14:paraId="3E74D80A" w14:textId="5C09F650" w:rsidR="00C52D95" w:rsidRPr="00EE1E5A" w:rsidRDefault="00C52D95" w:rsidP="003C58C0">
            <w:pPr>
              <w:pStyle w:val="TableParagraph"/>
              <w:spacing w:line="360" w:lineRule="auto"/>
            </w:pPr>
            <w:r w:rsidRPr="00C52D95">
              <w:t>Annex to the Subsidy Contract* required in certain cases.</w:t>
            </w:r>
          </w:p>
        </w:tc>
      </w:tr>
    </w:tbl>
    <w:p w14:paraId="4326A77A" w14:textId="0D0738B7" w:rsidR="00DD46BD" w:rsidRPr="00D42B74" w:rsidRDefault="00DD46BD" w:rsidP="003C58C0">
      <w:pPr>
        <w:spacing w:line="360" w:lineRule="auto"/>
      </w:pPr>
      <w:r w:rsidRPr="00D42B74">
        <w:t>*</w:t>
      </w:r>
      <w:r w:rsidR="00D42B74">
        <w:t xml:space="preserve">  </w:t>
      </w:r>
      <w:r w:rsidRPr="00D42B74">
        <w:t>Where changes require an annex to the project Subsidy Contract, the annex must be signed during the project implementation period defined in the Subsidy Contract.</w:t>
      </w:r>
    </w:p>
    <w:p w14:paraId="3CF3D181" w14:textId="77777777" w:rsidR="00DD46BD" w:rsidRPr="00D42B74" w:rsidRDefault="00DD46BD" w:rsidP="003C58C0">
      <w:pPr>
        <w:spacing w:line="360" w:lineRule="auto"/>
      </w:pPr>
      <w:r w:rsidRPr="00D42B74">
        <w:t>All the changes to the Subsidy Contract provisions (Annexes) and/or Application Form are registered by the Joint Secretariat.</w:t>
      </w:r>
    </w:p>
    <w:p w14:paraId="63926332" w14:textId="01F46AF5" w:rsidR="003807E2" w:rsidRPr="00CD511A" w:rsidRDefault="00DD46BD"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Changes to the project can be divided into the following types:</w:t>
      </w:r>
    </w:p>
    <w:p w14:paraId="561F771E" w14:textId="7C36F08D" w:rsidR="00F14B77" w:rsidRPr="00D42B74" w:rsidRDefault="001A7C11" w:rsidP="003C58C0">
      <w:pPr>
        <w:pStyle w:val="Heading3"/>
        <w:spacing w:line="360" w:lineRule="auto"/>
      </w:pPr>
      <w:bookmarkStart w:id="166" w:name="_Toc147242462"/>
      <w:r w:rsidRPr="00D42B74">
        <w:t>4</w:t>
      </w:r>
      <w:r w:rsidR="00DD46BD" w:rsidRPr="00D42B74">
        <w:t>.1 Budget changes</w:t>
      </w:r>
      <w:bookmarkEnd w:id="166"/>
    </w:p>
    <w:p w14:paraId="28B1510F" w14:textId="77777777" w:rsidR="00DD46BD" w:rsidRPr="00CD511A" w:rsidRDefault="00DD46BD"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Deviations:</w:t>
      </w:r>
    </w:p>
    <w:p w14:paraId="0CF548B5" w14:textId="7D99F5F0" w:rsidR="000F1AC6" w:rsidRPr="00242503" w:rsidRDefault="00DD46BD" w:rsidP="003C58C0">
      <w:pPr>
        <w:pStyle w:val="ListParagraph"/>
        <w:numPr>
          <w:ilvl w:val="0"/>
          <w:numId w:val="22"/>
        </w:numPr>
        <w:spacing w:line="360" w:lineRule="auto"/>
      </w:pPr>
      <w:r w:rsidRPr="00242503">
        <w:lastRenderedPageBreak/>
        <w:t xml:space="preserve">Cumulative budget reallocation between work packages and </w:t>
      </w:r>
      <w:r w:rsidR="00ED604C" w:rsidRPr="00242503">
        <w:t>cost categories</w:t>
      </w:r>
      <w:r w:rsidRPr="00242503">
        <w:t xml:space="preserve"> (WPs and </w:t>
      </w:r>
      <w:r w:rsidR="00C12BE2" w:rsidRPr="00242503">
        <w:t>CC</w:t>
      </w:r>
      <w:r w:rsidRPr="00242503">
        <w:t xml:space="preserve">s calculated separately) not exceeding 10% of the </w:t>
      </w:r>
      <w:r w:rsidR="000668BA" w:rsidRPr="00242503">
        <w:t>valid</w:t>
      </w:r>
      <w:r w:rsidRPr="00242503">
        <w:t xml:space="preserve"> total eligible budget</w:t>
      </w:r>
      <w:r w:rsidR="009170EC" w:rsidRPr="00242503">
        <w:t>.</w:t>
      </w:r>
      <w:r w:rsidRPr="00242503">
        <w:t xml:space="preserve"> </w:t>
      </w:r>
    </w:p>
    <w:p w14:paraId="24D815BF" w14:textId="20663B15" w:rsidR="00DD46BD" w:rsidRPr="00242503" w:rsidRDefault="00DD46BD" w:rsidP="003C58C0">
      <w:pPr>
        <w:pStyle w:val="ListParagraph"/>
        <w:numPr>
          <w:ilvl w:val="0"/>
          <w:numId w:val="22"/>
        </w:numPr>
        <w:spacing w:line="360" w:lineRule="auto"/>
      </w:pPr>
      <w:r w:rsidRPr="00242503">
        <w:t xml:space="preserve">Cumulative budget reallocation between project partners not exceeding 10% of the </w:t>
      </w:r>
      <w:r w:rsidR="000668BA" w:rsidRPr="00242503">
        <w:t>valid</w:t>
      </w:r>
      <w:r w:rsidRPr="00242503">
        <w:t xml:space="preserve"> total eligible budget of the project.</w:t>
      </w:r>
    </w:p>
    <w:p w14:paraId="499F1D01" w14:textId="1512CC5A" w:rsidR="00242503" w:rsidRDefault="00DD46BD" w:rsidP="003C58C0">
      <w:pPr>
        <w:spacing w:line="360" w:lineRule="auto"/>
      </w:pPr>
      <w:r w:rsidRPr="00242503">
        <w:t xml:space="preserve">Please note that </w:t>
      </w:r>
      <w:r w:rsidR="004261DF" w:rsidRPr="00242503">
        <w:t>for</w:t>
      </w:r>
      <w:r w:rsidRPr="00242503">
        <w:t xml:space="preserve"> changes within </w:t>
      </w:r>
      <w:r w:rsidR="00ED604C" w:rsidRPr="00242503">
        <w:t>cost categories</w:t>
      </w:r>
      <w:r w:rsidRPr="00242503">
        <w:t xml:space="preserve"> that are the basis for a flat rate calculation, the percentage of </w:t>
      </w:r>
      <w:r w:rsidR="002F59AE" w:rsidRPr="00242503">
        <w:t xml:space="preserve">the </w:t>
      </w:r>
      <w:r w:rsidRPr="00242503">
        <w:t xml:space="preserve">flat rates cannot be changed. The deviation budget change can only be implemented with respect to the activities and related expenditures planned in the Application Form (this rule does not apply to spending project savings for additional activities). </w:t>
      </w:r>
    </w:p>
    <w:p w14:paraId="0A6F7EA9" w14:textId="08986170" w:rsidR="00242503" w:rsidRPr="00242503" w:rsidRDefault="00CD511A" w:rsidP="003C58C0">
      <w:pPr>
        <w:spacing w:line="360" w:lineRule="auto"/>
      </w:pPr>
      <w:r>
        <w:rPr>
          <w:noProof/>
        </w:rPr>
        <mc:AlternateContent>
          <mc:Choice Requires="wps">
            <w:drawing>
              <wp:inline distT="0" distB="0" distL="0" distR="0" wp14:anchorId="58DEB3FE" wp14:editId="72ABFADA">
                <wp:extent cx="5751830" cy="914400"/>
                <wp:effectExtent l="0" t="0" r="20320" b="19050"/>
                <wp:docPr id="154889632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914400"/>
                        </a:xfrm>
                        <a:prstGeom prst="rect">
                          <a:avLst/>
                        </a:prstGeom>
                        <a:ln w="12700">
                          <a:solidFill>
                            <a:srgbClr val="003399"/>
                          </a:solidFill>
                          <a:prstDash val="solid"/>
                        </a:ln>
                      </wps:spPr>
                      <wps:txbx>
                        <w:txbxContent>
                          <w:p w14:paraId="777AD14E" w14:textId="77777777" w:rsidR="00CD511A" w:rsidRPr="00CD511A" w:rsidRDefault="00CD511A" w:rsidP="00CD511A">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Note:  </w:t>
                            </w:r>
                          </w:p>
                          <w:p w14:paraId="3DBCA1CF" w14:textId="77777777" w:rsidR="00CD511A" w:rsidRPr="00CD511A" w:rsidRDefault="00CD511A" w:rsidP="00CD511A">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Please note that the total amount of State aid/de minimis aid granted cannot be exceeded.</w:t>
                            </w:r>
                          </w:p>
                        </w:txbxContent>
                      </wps:txbx>
                      <wps:bodyPr wrap="square" lIns="0" tIns="0" rIns="0" bIns="0" rtlCol="0">
                        <a:noAutofit/>
                      </wps:bodyPr>
                    </wps:wsp>
                  </a:graphicData>
                </a:graphic>
              </wp:inline>
            </w:drawing>
          </mc:Choice>
          <mc:Fallback>
            <w:pict>
              <v:shape w14:anchorId="58DEB3FE" id="_x0000_s1081" type="#_x0000_t202" style="width:452.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" filled="f" strokecolor="#039" strokeweight="1pt">
                <v:path arrowok="t"/>
                <v:textbox inset="0,0,0,0">
                  <w:txbxContent>
                    <w:p w14:paraId="777AD14E" w14:textId="77777777" w:rsidR="00CD511A" w:rsidRPr="00CD511A" w:rsidRDefault="00CD511A" w:rsidP="00CD511A">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Note:  </w:t>
                      </w:r>
                    </w:p>
                    <w:p w14:paraId="3DBCA1CF" w14:textId="77777777" w:rsidR="00CD511A" w:rsidRPr="00CD511A" w:rsidRDefault="00CD511A" w:rsidP="00CD511A">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Please note that the total amount of State aid/de minimis aid granted cannot be exceeded.</w:t>
                      </w:r>
                    </w:p>
                  </w:txbxContent>
                </v:textbox>
                <w10:anchorlock/>
              </v:shape>
            </w:pict>
          </mc:Fallback>
        </mc:AlternateContent>
      </w:r>
    </w:p>
    <w:p w14:paraId="5E5AE48E" w14:textId="4D21EE4C" w:rsidR="00DD46BD" w:rsidRPr="00CD511A" w:rsidRDefault="009958BB"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 xml:space="preserve">Project </w:t>
      </w:r>
      <w:r w:rsidR="00DD46BD" w:rsidRPr="00CD511A">
        <w:rPr>
          <w:rFonts w:ascii="Open Sans SemiBold" w:eastAsia="Open Sans SemiBold" w:hAnsi="Open Sans SemiBold" w:cs="Open Sans SemiBold"/>
          <w:bCs/>
          <w:color w:val="003399"/>
          <w:szCs w:val="24"/>
        </w:rPr>
        <w:t>change:</w:t>
      </w:r>
    </w:p>
    <w:p w14:paraId="5FFF114C" w14:textId="4947E010" w:rsidR="00DD46BD" w:rsidRPr="00242503" w:rsidRDefault="00DD46BD" w:rsidP="003C58C0">
      <w:pPr>
        <w:pStyle w:val="ListParagraph"/>
        <w:numPr>
          <w:ilvl w:val="0"/>
          <w:numId w:val="22"/>
        </w:numPr>
        <w:spacing w:line="360" w:lineRule="auto"/>
      </w:pPr>
      <w:r w:rsidRPr="00242503">
        <w:t xml:space="preserve">Cumulative budget reallocation between work packages and </w:t>
      </w:r>
      <w:r w:rsidR="00ED604C" w:rsidRPr="00242503">
        <w:t xml:space="preserve">cost categories </w:t>
      </w:r>
      <w:r w:rsidRPr="00242503">
        <w:t xml:space="preserve">(calculated separately) exceeding 10% of the </w:t>
      </w:r>
      <w:r w:rsidR="000668BA" w:rsidRPr="00242503">
        <w:t>valid</w:t>
      </w:r>
      <w:r w:rsidRPr="00242503">
        <w:t xml:space="preserve"> total eligible budget of the project. </w:t>
      </w:r>
    </w:p>
    <w:p w14:paraId="3F710677" w14:textId="5B07AF8D" w:rsidR="000C7D72" w:rsidRPr="00242503" w:rsidRDefault="000C7D72" w:rsidP="003C58C0">
      <w:pPr>
        <w:pStyle w:val="ListParagraph"/>
        <w:numPr>
          <w:ilvl w:val="0"/>
          <w:numId w:val="22"/>
        </w:numPr>
        <w:spacing w:line="360" w:lineRule="auto"/>
      </w:pPr>
      <w:r w:rsidRPr="00242503">
        <w:t xml:space="preserve">Cumulative budget reallocation between project partners exceeding 10% of the </w:t>
      </w:r>
      <w:r w:rsidR="000668BA" w:rsidRPr="00242503">
        <w:t>valid</w:t>
      </w:r>
      <w:r w:rsidRPr="00242503">
        <w:t xml:space="preserve"> total eligible budget of the project. </w:t>
      </w:r>
    </w:p>
    <w:p w14:paraId="26678830" w14:textId="166BABCF" w:rsidR="000C7D72" w:rsidRPr="00242503" w:rsidRDefault="00ED47D2" w:rsidP="003C58C0">
      <w:pPr>
        <w:pStyle w:val="ListParagraph"/>
        <w:numPr>
          <w:ilvl w:val="0"/>
          <w:numId w:val="22"/>
        </w:numPr>
        <w:spacing w:line="360" w:lineRule="auto"/>
      </w:pPr>
      <w:r w:rsidRPr="00242503">
        <w:t>Any budget change that result</w:t>
      </w:r>
      <w:r w:rsidR="009B45AC" w:rsidRPr="00242503">
        <w:t>s</w:t>
      </w:r>
      <w:r w:rsidRPr="00242503">
        <w:t xml:space="preserve"> in an increase in the amount of state aid granted to project partners. </w:t>
      </w:r>
    </w:p>
    <w:p w14:paraId="09172A05" w14:textId="2BA75DDE" w:rsidR="000C7D72" w:rsidRPr="00242503" w:rsidRDefault="00DD46BD" w:rsidP="003C58C0">
      <w:pPr>
        <w:spacing w:line="360" w:lineRule="auto"/>
        <w:rPr>
          <w:rFonts w:eastAsia="Open Sans" w:cs="Open Sans"/>
        </w:rPr>
      </w:pPr>
      <w:r w:rsidRPr="00242503">
        <w:t>The budget reallocations can be carried out only in well</w:t>
      </w:r>
      <w:r w:rsidR="00F16495" w:rsidRPr="00242503">
        <w:t xml:space="preserve"> </w:t>
      </w:r>
      <w:r w:rsidRPr="00242503">
        <w:t>justified cases and are recommended only once during the project lifetime.</w:t>
      </w:r>
      <w:r w:rsidRPr="00242503">
        <w:rPr>
          <w:rFonts w:eastAsia="Open Sans" w:cs="Open Sans"/>
        </w:rPr>
        <w:t xml:space="preserve"> </w:t>
      </w:r>
      <w:r w:rsidR="009B45AC" w:rsidRPr="00242503">
        <w:rPr>
          <w:rFonts w:eastAsia="Open Sans" w:cs="Open Sans"/>
        </w:rPr>
        <w:t>For</w:t>
      </w:r>
      <w:r w:rsidRPr="00242503">
        <w:rPr>
          <w:rFonts w:eastAsia="Open Sans" w:cs="Open Sans"/>
        </w:rPr>
        <w:t xml:space="preserve"> changes within </w:t>
      </w:r>
      <w:r w:rsidR="00ED604C" w:rsidRPr="00242503">
        <w:rPr>
          <w:rFonts w:eastAsia="Open Sans" w:cs="Open Sans"/>
        </w:rPr>
        <w:t xml:space="preserve">cost categories </w:t>
      </w:r>
      <w:r w:rsidRPr="00242503">
        <w:rPr>
          <w:rFonts w:eastAsia="Open Sans" w:cs="Open Sans"/>
        </w:rPr>
        <w:t xml:space="preserve">that are the basis for a flat rate calculation, the percentage of </w:t>
      </w:r>
      <w:r w:rsidR="009B45AC" w:rsidRPr="00242503">
        <w:rPr>
          <w:rFonts w:eastAsia="Open Sans" w:cs="Open Sans"/>
        </w:rPr>
        <w:t xml:space="preserve">the </w:t>
      </w:r>
      <w:r w:rsidRPr="00242503">
        <w:rPr>
          <w:rFonts w:eastAsia="Open Sans" w:cs="Open Sans"/>
        </w:rPr>
        <w:t>flat rates cannot be changed.</w:t>
      </w:r>
      <w:r w:rsidR="00CD511A" w:rsidRPr="00CD511A">
        <w:rPr>
          <w:noProof/>
        </w:rPr>
        <w:t xml:space="preserve"> </w:t>
      </w:r>
    </w:p>
    <w:p w14:paraId="595A02C4" w14:textId="28C8069E" w:rsidR="00DD46BD" w:rsidRPr="00CD511A" w:rsidRDefault="00DD46BD"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lastRenderedPageBreak/>
        <w:t xml:space="preserve">Major </w:t>
      </w:r>
      <w:r w:rsidR="009958BB" w:rsidRPr="00CD511A">
        <w:rPr>
          <w:rFonts w:ascii="Open Sans SemiBold" w:eastAsia="Open Sans SemiBold" w:hAnsi="Open Sans SemiBold" w:cs="Open Sans SemiBold"/>
          <w:bCs/>
          <w:color w:val="003399"/>
          <w:szCs w:val="24"/>
        </w:rPr>
        <w:t xml:space="preserve">project </w:t>
      </w:r>
      <w:r w:rsidRPr="00CD511A">
        <w:rPr>
          <w:rFonts w:ascii="Open Sans SemiBold" w:eastAsia="Open Sans SemiBold" w:hAnsi="Open Sans SemiBold" w:cs="Open Sans SemiBold"/>
          <w:bCs/>
          <w:color w:val="003399"/>
          <w:szCs w:val="24"/>
        </w:rPr>
        <w:t>change:</w:t>
      </w:r>
    </w:p>
    <w:p w14:paraId="1BE7FBBD" w14:textId="5CC8EC49" w:rsidR="00242503" w:rsidRDefault="00F768C1" w:rsidP="003C58C0">
      <w:pPr>
        <w:pStyle w:val="ListParagraph"/>
        <w:numPr>
          <w:ilvl w:val="0"/>
          <w:numId w:val="22"/>
        </w:numPr>
        <w:spacing w:line="360" w:lineRule="auto"/>
      </w:pPr>
      <w:r w:rsidRPr="00242503">
        <w:t>Request for a</w:t>
      </w:r>
      <w:r w:rsidR="00DD46BD" w:rsidRPr="00242503">
        <w:t>dditional ERDF funding for the activities related to the achievement of the project objective.</w:t>
      </w:r>
    </w:p>
    <w:p w14:paraId="20A85076" w14:textId="2311144D" w:rsidR="00B72B35" w:rsidRPr="00493530" w:rsidRDefault="00CD511A" w:rsidP="007748C2">
      <w:pPr>
        <w:spacing w:line="360" w:lineRule="auto"/>
      </w:pPr>
      <w:r>
        <w:rPr>
          <w:noProof/>
        </w:rPr>
        <mc:AlternateContent>
          <mc:Choice Requires="wps">
            <w:drawing>
              <wp:inline distT="0" distB="0" distL="0" distR="0" wp14:anchorId="70AF8E06" wp14:editId="19E85CC4">
                <wp:extent cx="5751830" cy="1543050"/>
                <wp:effectExtent l="0" t="0" r="20320" b="19050"/>
                <wp:docPr id="2731244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830" cy="1543050"/>
                        </a:xfrm>
                        <a:prstGeom prst="rect">
                          <a:avLst/>
                        </a:prstGeom>
                        <a:ln w="12700">
                          <a:solidFill>
                            <a:srgbClr val="003399"/>
                          </a:solidFill>
                          <a:prstDash val="solid"/>
                        </a:ln>
                      </wps:spPr>
                      <wps:txbx>
                        <w:txbxContent>
                          <w:p w14:paraId="7F7A6656" w14:textId="77777777" w:rsidR="00CD511A" w:rsidRPr="00CD511A" w:rsidRDefault="00CD511A" w:rsidP="00CD511A">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Budget changes that may have an influence on the State aid/de minimis aid granted to the project partner or concern State aid/de minimis aid-related activities/work packages should be consulted in advance with the Joint Secretariat regardless of the percentage of the change. </w:t>
                            </w:r>
                          </w:p>
                          <w:p w14:paraId="15B4F51E" w14:textId="77777777" w:rsidR="00CD511A" w:rsidRPr="00CD511A" w:rsidRDefault="00CD511A" w:rsidP="00CD511A">
                            <w:pPr>
                              <w:pStyle w:val="BodyText"/>
                              <w:rPr>
                                <w:rFonts w:ascii="Open Sans SemiBold" w:eastAsia="Open Sans SemiBold" w:hAnsi="Open Sans SemiBold" w:cs="Open Sans SemiBold"/>
                                <w:bCs/>
                                <w:color w:val="003399"/>
                                <w:sz w:val="24"/>
                                <w:lang w:eastAsia="en-US"/>
                              </w:rPr>
                            </w:pPr>
                            <w:r w:rsidRPr="00CD511A">
                              <w:rPr>
                                <w:rFonts w:ascii="Open Sans SemiBold" w:eastAsia="Open Sans SemiBold" w:hAnsi="Open Sans SemiBold" w:cs="Open Sans SemiBold"/>
                                <w:bCs/>
                                <w:color w:val="003399"/>
                                <w:sz w:val="24"/>
                                <w:lang w:eastAsia="en-US"/>
                              </w:rPr>
                              <w:t>Changes having an impact on the granted State aid/de minimis aid to a partner require signing an annex to the Subsidy Contract.</w:t>
                            </w:r>
                          </w:p>
                        </w:txbxContent>
                      </wps:txbx>
                      <wps:bodyPr wrap="square" lIns="0" tIns="0" rIns="0" bIns="0" rtlCol="0">
                        <a:noAutofit/>
                      </wps:bodyPr>
                    </wps:wsp>
                  </a:graphicData>
                </a:graphic>
              </wp:inline>
            </w:drawing>
          </mc:Choice>
          <mc:Fallback>
            <w:pict>
              <v:shape w14:anchorId="70AF8E06" id="_x0000_s1082" type="#_x0000_t202" style="width:452.9pt;height:1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" filled="f" strokecolor="#039" strokeweight="1pt">
                <v:path arrowok="t"/>
                <v:textbox inset="0,0,0,0">
                  <w:txbxContent>
                    <w:p w14:paraId="7F7A6656" w14:textId="77777777" w:rsidR="00CD511A" w:rsidRPr="00CD511A" w:rsidRDefault="00CD511A" w:rsidP="00CD511A">
                      <w:pPr>
                        <w:pStyle w:val="BodyText"/>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Budget changes that may have an influence on the State aid/de minimis aid granted to the project partner or concern State aid/de minimis aid-related activities/work packages should be consulted in advance with the Joint Secretariat regardless of the percentage of the change. </w:t>
                      </w:r>
                    </w:p>
                    <w:p w14:paraId="15B4F51E" w14:textId="77777777" w:rsidR="00CD511A" w:rsidRPr="00CD511A" w:rsidRDefault="00CD511A" w:rsidP="00CD511A">
                      <w:pPr>
                        <w:pStyle w:val="BodyText"/>
                        <w:rPr>
                          <w:rFonts w:ascii="Open Sans SemiBold" w:eastAsia="Open Sans SemiBold" w:hAnsi="Open Sans SemiBold" w:cs="Open Sans SemiBold"/>
                          <w:bCs/>
                          <w:color w:val="003399"/>
                          <w:sz w:val="24"/>
                          <w:lang w:eastAsia="en-US"/>
                        </w:rPr>
                      </w:pPr>
                      <w:r w:rsidRPr="00CD511A">
                        <w:rPr>
                          <w:rFonts w:ascii="Open Sans SemiBold" w:eastAsia="Open Sans SemiBold" w:hAnsi="Open Sans SemiBold" w:cs="Open Sans SemiBold"/>
                          <w:bCs/>
                          <w:color w:val="003399"/>
                          <w:sz w:val="24"/>
                          <w:lang w:eastAsia="en-US"/>
                        </w:rPr>
                        <w:t>Changes having an impact on the granted State aid/de minimis aid to a partner require signing an annex to the Subsidy Contract.</w:t>
                      </w:r>
                    </w:p>
                  </w:txbxContent>
                </v:textbox>
                <w10:anchorlock/>
              </v:shape>
            </w:pict>
          </mc:Fallback>
        </mc:AlternateContent>
      </w:r>
    </w:p>
    <w:p w14:paraId="6D7232A6" w14:textId="2E42AE58" w:rsidR="00DD46BD" w:rsidRPr="00242503" w:rsidRDefault="001A7C11" w:rsidP="003C58C0">
      <w:pPr>
        <w:pStyle w:val="Heading3"/>
        <w:spacing w:line="360" w:lineRule="auto"/>
      </w:pPr>
      <w:bookmarkStart w:id="167" w:name="_Toc147242463"/>
      <w:r w:rsidRPr="00242503">
        <w:t>4</w:t>
      </w:r>
      <w:r w:rsidR="00DD46BD" w:rsidRPr="00242503">
        <w:t>.2 Changes to the project activities</w:t>
      </w:r>
      <w:bookmarkEnd w:id="167"/>
    </w:p>
    <w:p w14:paraId="28E7A362" w14:textId="77777777" w:rsidR="00DD46BD" w:rsidRPr="00CD511A" w:rsidRDefault="00DD46BD"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Deviations:</w:t>
      </w:r>
    </w:p>
    <w:p w14:paraId="5973AD55" w14:textId="7A53BE7B" w:rsidR="00DD46BD" w:rsidRPr="00242503" w:rsidRDefault="00DD46BD" w:rsidP="003C58C0">
      <w:pPr>
        <w:pStyle w:val="ListParagraph"/>
        <w:numPr>
          <w:ilvl w:val="0"/>
          <w:numId w:val="22"/>
        </w:numPr>
        <w:spacing w:line="360" w:lineRule="auto"/>
      </w:pPr>
      <w:r w:rsidRPr="00242503">
        <w:t>Change to the project activities that do</w:t>
      </w:r>
      <w:r w:rsidR="009B45AC" w:rsidRPr="00242503">
        <w:t>es</w:t>
      </w:r>
      <w:r w:rsidRPr="00242503">
        <w:t xml:space="preserve"> not impact the achievement of</w:t>
      </w:r>
      <w:r w:rsidR="009B45AC" w:rsidRPr="00242503">
        <w:t xml:space="preserve"> the</w:t>
      </w:r>
      <w:r w:rsidRPr="00242503">
        <w:t xml:space="preserve"> deliverables and project output indicators and ensure</w:t>
      </w:r>
      <w:r w:rsidR="009B45AC" w:rsidRPr="00242503">
        <w:t>s</w:t>
      </w:r>
      <w:r w:rsidRPr="00242503">
        <w:t xml:space="preserve"> the cross-border character of the activity</w:t>
      </w:r>
      <w:r w:rsidR="004B5E22">
        <w:t>.</w:t>
      </w:r>
    </w:p>
    <w:p w14:paraId="45CD81B3" w14:textId="26EFF33D" w:rsidR="00DD46BD" w:rsidRPr="00242503" w:rsidRDefault="00DD46BD" w:rsidP="003C58C0">
      <w:pPr>
        <w:pStyle w:val="ListParagraph"/>
        <w:numPr>
          <w:ilvl w:val="0"/>
          <w:numId w:val="22"/>
        </w:numPr>
        <w:spacing w:line="360" w:lineRule="auto"/>
      </w:pPr>
      <w:r w:rsidRPr="00242503">
        <w:t xml:space="preserve">Difference between the </w:t>
      </w:r>
      <w:r w:rsidR="00181322" w:rsidRPr="00242503">
        <w:t xml:space="preserve">time of the </w:t>
      </w:r>
      <w:r w:rsidRPr="00242503">
        <w:t>actual implementation of the activity and project work plan not affecting the project completion date.</w:t>
      </w:r>
    </w:p>
    <w:p w14:paraId="77F59879" w14:textId="34621DB6" w:rsidR="00DD46BD" w:rsidRPr="00CD511A" w:rsidRDefault="009958BB"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Project</w:t>
      </w:r>
      <w:r w:rsidR="00DD46BD" w:rsidRPr="00CD511A">
        <w:rPr>
          <w:rFonts w:ascii="Open Sans SemiBold" w:eastAsia="Open Sans SemiBold" w:hAnsi="Open Sans SemiBold" w:cs="Open Sans SemiBold"/>
          <w:bCs/>
          <w:color w:val="003399"/>
          <w:szCs w:val="24"/>
        </w:rPr>
        <w:t xml:space="preserve"> change:</w:t>
      </w:r>
    </w:p>
    <w:p w14:paraId="23E7621B" w14:textId="4266C974" w:rsidR="00DD46BD" w:rsidRPr="00186671" w:rsidRDefault="00DD46BD" w:rsidP="003C58C0">
      <w:pPr>
        <w:pStyle w:val="ListParagraph"/>
        <w:numPr>
          <w:ilvl w:val="0"/>
          <w:numId w:val="22"/>
        </w:numPr>
        <w:spacing w:line="360" w:lineRule="auto"/>
      </w:pPr>
      <w:r w:rsidRPr="00186671">
        <w:t>Change to the project activities that impact</w:t>
      </w:r>
      <w:r w:rsidR="009B45AC" w:rsidRPr="00186671">
        <w:t>s</w:t>
      </w:r>
      <w:r w:rsidRPr="00186671">
        <w:t xml:space="preserve"> the achievement of deliverables and project output indicators or </w:t>
      </w:r>
      <w:r w:rsidR="00431C7D" w:rsidRPr="00186671">
        <w:t xml:space="preserve">the </w:t>
      </w:r>
      <w:r w:rsidRPr="00186671">
        <w:t>cross-border character</w:t>
      </w:r>
      <w:r w:rsidR="009E4EE5" w:rsidRPr="00186671">
        <w:t xml:space="preserve"> of those activities</w:t>
      </w:r>
      <w:r w:rsidR="004B5E22">
        <w:t>.</w:t>
      </w:r>
    </w:p>
    <w:p w14:paraId="7EAB5AEE" w14:textId="6ECC260F" w:rsidR="00DD46BD" w:rsidRPr="00186671" w:rsidRDefault="00DD46BD" w:rsidP="003C58C0">
      <w:pPr>
        <w:pStyle w:val="ListParagraph"/>
        <w:numPr>
          <w:ilvl w:val="0"/>
          <w:numId w:val="22"/>
        </w:numPr>
        <w:spacing w:line="360" w:lineRule="auto"/>
      </w:pPr>
      <w:r w:rsidRPr="00186671">
        <w:t>Adding new activities that ensure the achievement of deliverables/project output indicators</w:t>
      </w:r>
      <w:r w:rsidR="004B5E22">
        <w:t>.</w:t>
      </w:r>
    </w:p>
    <w:p w14:paraId="061A9D8B" w14:textId="78644CFA" w:rsidR="00DD46BD" w:rsidRPr="00186671" w:rsidRDefault="00DD46BD" w:rsidP="003C58C0">
      <w:pPr>
        <w:pStyle w:val="ListParagraph"/>
        <w:numPr>
          <w:ilvl w:val="0"/>
          <w:numId w:val="22"/>
        </w:numPr>
        <w:spacing w:line="360" w:lineRule="auto"/>
      </w:pPr>
      <w:r w:rsidRPr="00186671">
        <w:t xml:space="preserve">Change to </w:t>
      </w:r>
      <w:r w:rsidR="009B45AC" w:rsidRPr="00186671">
        <w:t xml:space="preserve">the </w:t>
      </w:r>
      <w:r w:rsidRPr="00186671">
        <w:t xml:space="preserve">planned </w:t>
      </w:r>
      <w:r w:rsidR="009B45AC" w:rsidRPr="00186671">
        <w:t xml:space="preserve">number </w:t>
      </w:r>
      <w:r w:rsidRPr="00186671">
        <w:t>of equipment items (except items of low value) defined in the Subsidy Contract in force.</w:t>
      </w:r>
    </w:p>
    <w:p w14:paraId="51A063D1" w14:textId="2BC5880B" w:rsidR="00DD46BD" w:rsidRPr="00186671" w:rsidRDefault="001A7C11" w:rsidP="003C58C0">
      <w:pPr>
        <w:pStyle w:val="Heading3"/>
        <w:spacing w:line="360" w:lineRule="auto"/>
      </w:pPr>
      <w:bookmarkStart w:id="168" w:name="_Toc147242464"/>
      <w:r w:rsidRPr="00186671">
        <w:lastRenderedPageBreak/>
        <w:t>4</w:t>
      </w:r>
      <w:r w:rsidR="00DD46BD" w:rsidRPr="00186671">
        <w:t>.3 Changes to project</w:t>
      </w:r>
      <w:r w:rsidR="00721808" w:rsidRPr="00186671">
        <w:t xml:space="preserve"> </w:t>
      </w:r>
      <w:r w:rsidR="00DD46BD" w:rsidRPr="00186671">
        <w:t>outputs and deliverables</w:t>
      </w:r>
      <w:bookmarkEnd w:id="168"/>
    </w:p>
    <w:p w14:paraId="52EE6D22" w14:textId="03814798" w:rsidR="00DD46BD" w:rsidRPr="00CD511A" w:rsidRDefault="00DD46BD"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Deviations:</w:t>
      </w:r>
    </w:p>
    <w:p w14:paraId="2B1BB413" w14:textId="4195A61B" w:rsidR="00CC1245" w:rsidRPr="00186671" w:rsidRDefault="00CC1245" w:rsidP="003C58C0">
      <w:pPr>
        <w:pStyle w:val="ListParagraph"/>
        <w:numPr>
          <w:ilvl w:val="0"/>
          <w:numId w:val="22"/>
        </w:numPr>
        <w:spacing w:line="360" w:lineRule="auto"/>
      </w:pPr>
      <w:r w:rsidRPr="00186671">
        <w:t>Change</w:t>
      </w:r>
      <w:r w:rsidR="005A33F3" w:rsidRPr="00186671">
        <w:t xml:space="preserve"> that does not exceed</w:t>
      </w:r>
      <w:r w:rsidRPr="00186671">
        <w:t xml:space="preserve"> 30% of the target value of </w:t>
      </w:r>
      <w:r w:rsidR="005A33F3" w:rsidRPr="00186671">
        <w:t>a</w:t>
      </w:r>
      <w:r w:rsidRPr="00186671">
        <w:t xml:space="preserve"> deliverable</w:t>
      </w:r>
      <w:r w:rsidR="004B5E22">
        <w:t>.</w:t>
      </w:r>
    </w:p>
    <w:p w14:paraId="3837B3C2" w14:textId="3FDB428C" w:rsidR="005A33F3" w:rsidRPr="00186671" w:rsidRDefault="005A33F3" w:rsidP="003C58C0">
      <w:pPr>
        <w:pStyle w:val="ListParagraph"/>
        <w:numPr>
          <w:ilvl w:val="0"/>
          <w:numId w:val="22"/>
        </w:numPr>
        <w:spacing w:line="360" w:lineRule="auto"/>
      </w:pPr>
      <w:r w:rsidRPr="00186671">
        <w:t>Change that does not exceed 20% of the target value of a project output</w:t>
      </w:r>
      <w:r w:rsidR="00F82FA4" w:rsidRPr="00186671">
        <w:t xml:space="preserve"> and result</w:t>
      </w:r>
      <w:r w:rsidRPr="00186671">
        <w:t>.</w:t>
      </w:r>
    </w:p>
    <w:p w14:paraId="4AB37C59" w14:textId="5994DE5B" w:rsidR="00DD46BD" w:rsidRPr="00CD511A" w:rsidRDefault="009958BB"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 xml:space="preserve">Project </w:t>
      </w:r>
      <w:r w:rsidR="00DD46BD" w:rsidRPr="00CD511A">
        <w:rPr>
          <w:rFonts w:ascii="Open Sans SemiBold" w:eastAsia="Open Sans SemiBold" w:hAnsi="Open Sans SemiBold" w:cs="Open Sans SemiBold"/>
          <w:bCs/>
          <w:color w:val="003399"/>
          <w:szCs w:val="24"/>
        </w:rPr>
        <w:t>change:</w:t>
      </w:r>
    </w:p>
    <w:p w14:paraId="75A6D3D1" w14:textId="4862414F" w:rsidR="005A33F3" w:rsidRPr="00186671" w:rsidRDefault="005A33F3" w:rsidP="003C58C0">
      <w:pPr>
        <w:pStyle w:val="ListParagraph"/>
        <w:numPr>
          <w:ilvl w:val="0"/>
          <w:numId w:val="22"/>
        </w:numPr>
        <w:spacing w:line="360" w:lineRule="auto"/>
      </w:pPr>
      <w:r w:rsidRPr="00186671">
        <w:t>Change of more than 30% to the target value of deliverables; introducing new deliverables or deleting existing ones</w:t>
      </w:r>
      <w:r w:rsidR="004B5E22">
        <w:t>.</w:t>
      </w:r>
    </w:p>
    <w:p w14:paraId="6FACFFCB" w14:textId="032AE7F5" w:rsidR="005A33F3" w:rsidRPr="00186671" w:rsidRDefault="005A33F3" w:rsidP="003C58C0">
      <w:pPr>
        <w:pStyle w:val="ListParagraph"/>
        <w:numPr>
          <w:ilvl w:val="0"/>
          <w:numId w:val="22"/>
        </w:numPr>
        <w:spacing w:line="360" w:lineRule="auto"/>
      </w:pPr>
      <w:r w:rsidRPr="00186671">
        <w:t xml:space="preserve">Change of more than 20% to the target value of </w:t>
      </w:r>
      <w:r w:rsidR="004B5C0B" w:rsidRPr="00186671">
        <w:t xml:space="preserve">a </w:t>
      </w:r>
      <w:r w:rsidRPr="00186671">
        <w:t>project output</w:t>
      </w:r>
      <w:r w:rsidR="00F82FA4" w:rsidRPr="00186671">
        <w:t xml:space="preserve"> and result</w:t>
      </w:r>
      <w:r w:rsidRPr="00186671">
        <w:t>.</w:t>
      </w:r>
    </w:p>
    <w:p w14:paraId="358C8762" w14:textId="445D0BBB" w:rsidR="00DD46BD" w:rsidRPr="00CD511A" w:rsidRDefault="00DD46BD" w:rsidP="003C58C0">
      <w:pPr>
        <w:spacing w:line="360" w:lineRule="auto"/>
        <w:rPr>
          <w:rFonts w:ascii="Open Sans SemiBold" w:eastAsia="Open Sans SemiBold" w:hAnsi="Open Sans SemiBold" w:cs="Open Sans SemiBold"/>
          <w:bCs/>
          <w:color w:val="003399"/>
          <w:szCs w:val="24"/>
        </w:rPr>
      </w:pPr>
      <w:r w:rsidRPr="00CD511A">
        <w:rPr>
          <w:rFonts w:ascii="Open Sans SemiBold" w:eastAsia="Open Sans SemiBold" w:hAnsi="Open Sans SemiBold" w:cs="Open Sans SemiBold"/>
          <w:bCs/>
          <w:color w:val="003399"/>
          <w:szCs w:val="24"/>
        </w:rPr>
        <w:t xml:space="preserve">Major </w:t>
      </w:r>
      <w:r w:rsidR="009958BB" w:rsidRPr="00CD511A">
        <w:rPr>
          <w:rFonts w:ascii="Open Sans SemiBold" w:eastAsia="Open Sans SemiBold" w:hAnsi="Open Sans SemiBold" w:cs="Open Sans SemiBold"/>
          <w:bCs/>
          <w:color w:val="003399"/>
          <w:szCs w:val="24"/>
        </w:rPr>
        <w:t xml:space="preserve">project </w:t>
      </w:r>
      <w:r w:rsidRPr="00CD511A">
        <w:rPr>
          <w:rFonts w:ascii="Open Sans SemiBold" w:eastAsia="Open Sans SemiBold" w:hAnsi="Open Sans SemiBold" w:cs="Open Sans SemiBold"/>
          <w:bCs/>
          <w:color w:val="003399"/>
          <w:szCs w:val="24"/>
        </w:rPr>
        <w:t>change:</w:t>
      </w:r>
    </w:p>
    <w:p w14:paraId="4097D69B" w14:textId="75E8583A" w:rsidR="00616310" w:rsidRPr="00186671" w:rsidRDefault="00616310" w:rsidP="003C58C0">
      <w:pPr>
        <w:pStyle w:val="ListParagraph"/>
        <w:numPr>
          <w:ilvl w:val="0"/>
          <w:numId w:val="22"/>
        </w:numPr>
        <w:spacing w:line="360" w:lineRule="auto"/>
      </w:pPr>
      <w:r w:rsidRPr="00186671">
        <w:t xml:space="preserve">Adding </w:t>
      </w:r>
      <w:r w:rsidR="004B5C0B" w:rsidRPr="00186671">
        <w:t xml:space="preserve">a </w:t>
      </w:r>
      <w:r w:rsidRPr="00186671">
        <w:t xml:space="preserve">new or deleting </w:t>
      </w:r>
      <w:r w:rsidR="004B5C0B" w:rsidRPr="00186671">
        <w:t xml:space="preserve">an </w:t>
      </w:r>
      <w:r w:rsidRPr="00186671">
        <w:t>existing project output and</w:t>
      </w:r>
      <w:r w:rsidR="00F82FA4" w:rsidRPr="00186671">
        <w:t xml:space="preserve"> result indicators</w:t>
      </w:r>
      <w:r w:rsidRPr="00186671">
        <w:t>.</w:t>
      </w:r>
    </w:p>
    <w:p w14:paraId="672EF8C4" w14:textId="563C8802" w:rsidR="00DD46BD" w:rsidRDefault="009B4162" w:rsidP="003C58C0">
      <w:pPr>
        <w:spacing w:line="360" w:lineRule="auto"/>
        <w:rPr>
          <w:rFonts w:ascii="Segoe UI" w:hAnsi="Segoe UI" w:cs="Segoe UI"/>
          <w:b/>
          <w:bCs/>
        </w:rPr>
      </w:pPr>
      <w:r w:rsidRPr="00186671">
        <w:rPr>
          <w:rFonts w:ascii="Open Sans ExtraBold"/>
          <w:b/>
          <w:color w:val="003399"/>
          <w:spacing w:val="-2"/>
        </w:rPr>
        <w:t>NB:</w:t>
      </w:r>
      <w:r w:rsidRPr="007D083A">
        <w:rPr>
          <w:rFonts w:ascii="Segoe UI" w:hAnsi="Segoe UI" w:cs="Segoe UI"/>
          <w:b/>
          <w:bCs/>
        </w:rPr>
        <w:t xml:space="preserve"> </w:t>
      </w:r>
      <w:r w:rsidR="004B5C0B" w:rsidRPr="00186671">
        <w:t>Should</w:t>
      </w:r>
      <w:r w:rsidR="00DD46BD" w:rsidRPr="00186671">
        <w:t xml:space="preserve"> any project output indicator</w:t>
      </w:r>
      <w:r w:rsidR="004E68A3" w:rsidRPr="00186671">
        <w:t>(</w:t>
      </w:r>
      <w:r w:rsidR="00DD46BD" w:rsidRPr="00186671">
        <w:t>s</w:t>
      </w:r>
      <w:r w:rsidR="004E68A3" w:rsidRPr="00186671">
        <w:t>)</w:t>
      </w:r>
      <w:r w:rsidR="004B5C0B" w:rsidRPr="00186671">
        <w:t xml:space="preserve"> be deleted</w:t>
      </w:r>
      <w:r w:rsidR="00DD46BD" w:rsidRPr="00186671">
        <w:t>, the project budget will be reduced accordingly.</w:t>
      </w:r>
      <w:r w:rsidR="00DD46BD" w:rsidRPr="007D083A">
        <w:rPr>
          <w:rFonts w:ascii="Segoe UI" w:hAnsi="Segoe UI" w:cs="Segoe UI"/>
          <w:b/>
          <w:bCs/>
        </w:rPr>
        <w:t xml:space="preserve"> </w:t>
      </w:r>
    </w:p>
    <w:p w14:paraId="7794CE69" w14:textId="6B3AA305" w:rsidR="00F66565" w:rsidRPr="00186671" w:rsidRDefault="00F66565" w:rsidP="003C58C0">
      <w:pPr>
        <w:spacing w:line="360" w:lineRule="auto"/>
      </w:pPr>
      <w:r w:rsidRPr="00186671">
        <w:t xml:space="preserve">As </w:t>
      </w:r>
      <w:r w:rsidR="004B5C0B" w:rsidRPr="00186671">
        <w:t xml:space="preserve">a </w:t>
      </w:r>
      <w:r w:rsidRPr="00186671">
        <w:t xml:space="preserve">general rule, the target values of </w:t>
      </w:r>
      <w:r w:rsidR="004B5C0B" w:rsidRPr="00186671">
        <w:t xml:space="preserve">the </w:t>
      </w:r>
      <w:r w:rsidRPr="00186671">
        <w:t>result indicators shall not be modified during the project implementation period</w:t>
      </w:r>
      <w:r w:rsidR="00097DCD" w:rsidRPr="00186671">
        <w:t>.</w:t>
      </w:r>
      <w:r w:rsidRPr="00186671">
        <w:t xml:space="preserve"> </w:t>
      </w:r>
      <w:r w:rsidR="00097DCD" w:rsidRPr="00186671">
        <w:t>S</w:t>
      </w:r>
      <w:r w:rsidRPr="00186671">
        <w:t xml:space="preserve">uch </w:t>
      </w:r>
      <w:r w:rsidR="004B5C0B" w:rsidRPr="00186671">
        <w:t xml:space="preserve">a </w:t>
      </w:r>
      <w:r w:rsidRPr="00186671">
        <w:t xml:space="preserve">change is possible only </w:t>
      </w:r>
      <w:r w:rsidR="00097DCD" w:rsidRPr="00186671">
        <w:t xml:space="preserve">if it occurs due to changes to the connected output indicator and if the change is strongly justified. </w:t>
      </w:r>
    </w:p>
    <w:p w14:paraId="2E2FF11F" w14:textId="3DFC5A42" w:rsidR="00DD46BD" w:rsidRPr="00186671" w:rsidRDefault="001A7C11" w:rsidP="003C58C0">
      <w:pPr>
        <w:pStyle w:val="Heading3"/>
        <w:spacing w:line="360" w:lineRule="auto"/>
      </w:pPr>
      <w:bookmarkStart w:id="169" w:name="_Toc147242465"/>
      <w:r w:rsidRPr="00186671">
        <w:t>4</w:t>
      </w:r>
      <w:r w:rsidR="00DD46BD" w:rsidRPr="00186671">
        <w:t>.</w:t>
      </w:r>
      <w:r w:rsidR="00F14B77" w:rsidRPr="00186671">
        <w:t>4</w:t>
      </w:r>
      <w:r w:rsidR="00DD46BD" w:rsidRPr="00186671">
        <w:t xml:space="preserve"> Prolongation of the project implementation time</w:t>
      </w:r>
      <w:bookmarkEnd w:id="169"/>
    </w:p>
    <w:p w14:paraId="3E048A33" w14:textId="438CDF0B" w:rsidR="00F14B77" w:rsidRPr="00186671" w:rsidRDefault="00F14B77" w:rsidP="003C58C0">
      <w:pPr>
        <w:spacing w:line="360" w:lineRule="auto"/>
      </w:pPr>
      <w:r w:rsidRPr="00186671">
        <w:t xml:space="preserve">A prolongation is defined as </w:t>
      </w:r>
      <w:r w:rsidR="00F16495" w:rsidRPr="00186671">
        <w:t xml:space="preserve">an </w:t>
      </w:r>
      <w:r w:rsidRPr="00186671">
        <w:t xml:space="preserve">extension of the project implementation period specified in the Subsidy Contract. </w:t>
      </w:r>
    </w:p>
    <w:p w14:paraId="011101B7" w14:textId="49A56EBC" w:rsidR="00C222C9" w:rsidRPr="00186671" w:rsidRDefault="009E4EE5" w:rsidP="003C58C0">
      <w:pPr>
        <w:spacing w:line="360" w:lineRule="auto"/>
      </w:pPr>
      <w:r w:rsidRPr="00186671">
        <w:t xml:space="preserve">As a general rule, each project shall be implemented within the approved duration period. </w:t>
      </w:r>
      <w:r w:rsidRPr="00186671">
        <w:rPr>
          <w:rFonts w:ascii="Open Sans SemiBold" w:eastAsia="Open Sans SemiBold" w:hAnsi="Open Sans SemiBold" w:cs="Open Sans SemiBold"/>
          <w:bCs/>
          <w:color w:val="003399"/>
        </w:rPr>
        <w:t xml:space="preserve">Project prolongation may be requested only in well justified cases </w:t>
      </w:r>
      <w:r w:rsidRPr="00186671">
        <w:t>(i.e.</w:t>
      </w:r>
      <w:r w:rsidR="009B4162" w:rsidRPr="00186671">
        <w:t>,</w:t>
      </w:r>
      <w:r w:rsidRPr="00186671">
        <w:t xml:space="preserve"> cases affected by unforeseeable external factors, force majeure</w:t>
      </w:r>
      <w:r w:rsidR="007636CB" w:rsidRPr="00186671">
        <w:t>,</w:t>
      </w:r>
      <w:r w:rsidRPr="00186671">
        <w:t xml:space="preserve"> etc.). </w:t>
      </w:r>
    </w:p>
    <w:p w14:paraId="7135696E" w14:textId="1BCFB0DB" w:rsidR="009E4EE5" w:rsidRPr="00186671" w:rsidRDefault="009E4EE5" w:rsidP="003C58C0">
      <w:pPr>
        <w:spacing w:line="360" w:lineRule="auto"/>
      </w:pPr>
      <w:r w:rsidRPr="00186671">
        <w:rPr>
          <w:rFonts w:ascii="Open Sans SemiBold" w:eastAsia="Open Sans SemiBold" w:hAnsi="Open Sans SemiBold" w:cs="Open Sans SemiBold"/>
          <w:bCs/>
          <w:color w:val="003399"/>
        </w:rPr>
        <w:lastRenderedPageBreak/>
        <w:t>Only in exceptional cases</w:t>
      </w:r>
      <w:r w:rsidR="00F16495" w:rsidRPr="00186671">
        <w:rPr>
          <w:rFonts w:ascii="Open Sans SemiBold" w:eastAsia="Open Sans SemiBold" w:hAnsi="Open Sans SemiBold" w:cs="Open Sans SemiBold"/>
          <w:bCs/>
          <w:color w:val="003399"/>
        </w:rPr>
        <w:t>,</w:t>
      </w:r>
      <w:r w:rsidRPr="00186671">
        <w:rPr>
          <w:rFonts w:ascii="Open Sans SemiBold" w:eastAsia="Open Sans SemiBold" w:hAnsi="Open Sans SemiBold" w:cs="Open Sans SemiBold"/>
          <w:bCs/>
          <w:color w:val="003399"/>
        </w:rPr>
        <w:t xml:space="preserve"> the project duration can be prolonged </w:t>
      </w:r>
      <w:r w:rsidR="00480442" w:rsidRPr="00186671">
        <w:rPr>
          <w:rFonts w:ascii="Open Sans SemiBold" w:eastAsia="Open Sans SemiBold" w:hAnsi="Open Sans SemiBold" w:cs="Open Sans SemiBold"/>
          <w:bCs/>
          <w:color w:val="003399"/>
        </w:rPr>
        <w:t xml:space="preserve">up to 24 </w:t>
      </w:r>
      <w:r w:rsidR="00C222C9" w:rsidRPr="00186671">
        <w:rPr>
          <w:rFonts w:ascii="Open Sans SemiBold" w:eastAsia="Open Sans SemiBold" w:hAnsi="Open Sans SemiBold" w:cs="Open Sans SemiBold"/>
          <w:bCs/>
          <w:color w:val="003399"/>
        </w:rPr>
        <w:t>months</w:t>
      </w:r>
      <w:r w:rsidRPr="00186671">
        <w:rPr>
          <w:rFonts w:ascii="Open Sans SemiBold" w:eastAsia="Open Sans SemiBold" w:hAnsi="Open Sans SemiBold" w:cs="Open Sans SemiBold"/>
          <w:bCs/>
          <w:color w:val="003399"/>
        </w:rPr>
        <w:t xml:space="preserve"> (cumulative</w:t>
      </w:r>
      <w:r w:rsidR="009B4162" w:rsidRPr="00186671">
        <w:rPr>
          <w:rFonts w:ascii="Open Sans SemiBold" w:eastAsia="Open Sans SemiBold" w:hAnsi="Open Sans SemiBold" w:cs="Open Sans SemiBold"/>
          <w:bCs/>
          <w:color w:val="003399"/>
        </w:rPr>
        <w:t>ly</w:t>
      </w:r>
      <w:r w:rsidRPr="00186671">
        <w:rPr>
          <w:rFonts w:ascii="Open Sans SemiBold" w:eastAsia="Open Sans SemiBold" w:hAnsi="Open Sans SemiBold" w:cs="Open Sans SemiBold"/>
          <w:bCs/>
          <w:color w:val="003399"/>
        </w:rPr>
        <w:t>).</w:t>
      </w:r>
      <w:r w:rsidRPr="00186671">
        <w:t xml:space="preserve"> If prolongation is required, the </w:t>
      </w:r>
      <w:r w:rsidR="008122ED" w:rsidRPr="00186671">
        <w:t>l</w:t>
      </w:r>
      <w:r w:rsidR="00D45EFF" w:rsidRPr="00186671">
        <w:t>ead partner</w:t>
      </w:r>
      <w:r w:rsidRPr="00186671">
        <w:t xml:space="preserve"> shall justify the need </w:t>
      </w:r>
      <w:r w:rsidR="00F16495" w:rsidRPr="00186671">
        <w:t>to extend the</w:t>
      </w:r>
      <w:r w:rsidRPr="00186671">
        <w:t xml:space="preserve"> project duration by describing in detail which project activities and partners </w:t>
      </w:r>
      <w:r w:rsidR="00F16495" w:rsidRPr="00186671">
        <w:t xml:space="preserve">require </w:t>
      </w:r>
      <w:r w:rsidRPr="00186671">
        <w:t xml:space="preserve">the prolongation. </w:t>
      </w:r>
    </w:p>
    <w:p w14:paraId="759363AD" w14:textId="3DA8B696" w:rsidR="004C4791" w:rsidRPr="00C7145F" w:rsidRDefault="004C4791" w:rsidP="003C58C0">
      <w:pPr>
        <w:spacing w:line="360" w:lineRule="auto"/>
      </w:pPr>
      <w:r w:rsidRPr="00C7145F">
        <w:t>In exceptional cases (e.g.</w:t>
      </w:r>
      <w:r w:rsidR="009B4162" w:rsidRPr="00C7145F">
        <w:t>,</w:t>
      </w:r>
      <w:r w:rsidRPr="00C7145F">
        <w:t xml:space="preserve"> risk of decommitment </w:t>
      </w:r>
      <w:r w:rsidR="00C7145F" w:rsidRPr="00C7145F">
        <w:t>to</w:t>
      </w:r>
      <w:r w:rsidRPr="00C7145F">
        <w:t xml:space="preserve"> the Programme)</w:t>
      </w:r>
      <w:r w:rsidR="00F16495" w:rsidRPr="00C7145F">
        <w:t>,</w:t>
      </w:r>
      <w:r w:rsidRPr="00C7145F">
        <w:t xml:space="preserve"> prolongation may be refused by the Managing Authority or the Monitoring Committee.</w:t>
      </w:r>
    </w:p>
    <w:p w14:paraId="7EDB1A7F" w14:textId="1A66ED96" w:rsidR="00F14B77" w:rsidRPr="00CD511A" w:rsidRDefault="009958BB" w:rsidP="003C58C0">
      <w:pPr>
        <w:spacing w:line="360" w:lineRule="auto"/>
        <w:rPr>
          <w:rFonts w:ascii="Open Sans SemiBold" w:eastAsia="Open Sans SemiBold" w:hAnsi="Open Sans SemiBold" w:cs="Open Sans SemiBold"/>
          <w:bCs/>
          <w:color w:val="003399"/>
        </w:rPr>
      </w:pPr>
      <w:r w:rsidRPr="00CD511A">
        <w:rPr>
          <w:rFonts w:ascii="Open Sans SemiBold" w:eastAsia="Open Sans SemiBold" w:hAnsi="Open Sans SemiBold" w:cs="Open Sans SemiBold"/>
          <w:bCs/>
          <w:color w:val="003399"/>
        </w:rPr>
        <w:t xml:space="preserve">Project </w:t>
      </w:r>
      <w:r w:rsidR="00F14B77" w:rsidRPr="00CD511A">
        <w:rPr>
          <w:rFonts w:ascii="Open Sans SemiBold" w:eastAsia="Open Sans SemiBold" w:hAnsi="Open Sans SemiBold" w:cs="Open Sans SemiBold"/>
          <w:bCs/>
          <w:color w:val="003399"/>
        </w:rPr>
        <w:t>change:</w:t>
      </w:r>
    </w:p>
    <w:p w14:paraId="32C2322A" w14:textId="43B156D6" w:rsidR="007B62E3" w:rsidRPr="00C7145F" w:rsidRDefault="007B62E3" w:rsidP="003C58C0">
      <w:pPr>
        <w:pStyle w:val="ListParagraph"/>
        <w:numPr>
          <w:ilvl w:val="0"/>
          <w:numId w:val="22"/>
        </w:numPr>
        <w:spacing w:line="360" w:lineRule="auto"/>
      </w:pPr>
      <w:r w:rsidRPr="00C7145F">
        <w:t xml:space="preserve">Prolonging the project implementation </w:t>
      </w:r>
      <w:r w:rsidR="000A14A4" w:rsidRPr="00C7145F">
        <w:t xml:space="preserve">period </w:t>
      </w:r>
      <w:r w:rsidRPr="00C7145F">
        <w:t>(up to 1 year</w:t>
      </w:r>
      <w:r w:rsidR="000A14A4" w:rsidRPr="00C7145F">
        <w:t>, cumulatively</w:t>
      </w:r>
      <w:r w:rsidRPr="00C7145F">
        <w:t>).</w:t>
      </w:r>
    </w:p>
    <w:p w14:paraId="055D3B7E" w14:textId="61DB4447" w:rsidR="000A14A4" w:rsidRPr="00CD511A" w:rsidRDefault="000A14A4" w:rsidP="003C58C0">
      <w:pPr>
        <w:spacing w:line="360" w:lineRule="auto"/>
        <w:rPr>
          <w:rFonts w:ascii="Open Sans SemiBold" w:eastAsia="Open Sans SemiBold" w:hAnsi="Open Sans SemiBold" w:cs="Open Sans SemiBold"/>
          <w:bCs/>
          <w:color w:val="003399"/>
        </w:rPr>
      </w:pPr>
      <w:r w:rsidRPr="00CD511A">
        <w:rPr>
          <w:rFonts w:ascii="Open Sans SemiBold" w:eastAsia="Open Sans SemiBold" w:hAnsi="Open Sans SemiBold" w:cs="Open Sans SemiBold"/>
          <w:bCs/>
          <w:color w:val="003399"/>
        </w:rPr>
        <w:t>Major project change:</w:t>
      </w:r>
    </w:p>
    <w:p w14:paraId="0E67BC6F" w14:textId="499CF4C9" w:rsidR="000A14A4" w:rsidRPr="00C7145F" w:rsidRDefault="000A14A4" w:rsidP="003C58C0">
      <w:pPr>
        <w:pStyle w:val="ListParagraph"/>
        <w:numPr>
          <w:ilvl w:val="0"/>
          <w:numId w:val="22"/>
        </w:numPr>
        <w:spacing w:line="360" w:lineRule="auto"/>
      </w:pPr>
      <w:r w:rsidRPr="00C7145F">
        <w:t>Prolonging the project implementation period for more than 1 year (cumulatively, only in well justified cases)</w:t>
      </w:r>
      <w:r w:rsidR="00843CEF" w:rsidRPr="00C7145F">
        <w:t>.</w:t>
      </w:r>
    </w:p>
    <w:p w14:paraId="1184CC23" w14:textId="6EA4BE0A" w:rsidR="00DD46BD" w:rsidRPr="00C7145F" w:rsidRDefault="001A7C11" w:rsidP="003C58C0">
      <w:pPr>
        <w:pStyle w:val="Heading3"/>
        <w:spacing w:line="360" w:lineRule="auto"/>
      </w:pPr>
      <w:bookmarkStart w:id="170" w:name="_Toc147242466"/>
      <w:r w:rsidRPr="00C7145F">
        <w:t>4</w:t>
      </w:r>
      <w:r w:rsidR="00DD46BD" w:rsidRPr="00C7145F">
        <w:t>.</w:t>
      </w:r>
      <w:r w:rsidR="003807E2" w:rsidRPr="00C7145F">
        <w:t>5</w:t>
      </w:r>
      <w:r w:rsidR="00DD46BD" w:rsidRPr="00C7145F">
        <w:t xml:space="preserve"> Partnership</w:t>
      </w:r>
      <w:bookmarkEnd w:id="170"/>
    </w:p>
    <w:p w14:paraId="16CE3E8C" w14:textId="77777777" w:rsidR="00F14B77" w:rsidRPr="00CD511A" w:rsidRDefault="00F14B77" w:rsidP="003C58C0">
      <w:pPr>
        <w:spacing w:line="360" w:lineRule="auto"/>
        <w:rPr>
          <w:rFonts w:ascii="Open Sans SemiBold" w:eastAsia="Open Sans SemiBold" w:hAnsi="Open Sans SemiBold" w:cs="Open Sans SemiBold"/>
          <w:bCs/>
          <w:color w:val="003399"/>
        </w:rPr>
      </w:pPr>
      <w:r w:rsidRPr="00CD511A">
        <w:rPr>
          <w:rFonts w:ascii="Open Sans SemiBold" w:eastAsia="Open Sans SemiBold" w:hAnsi="Open Sans SemiBold" w:cs="Open Sans SemiBold"/>
          <w:bCs/>
          <w:color w:val="003399"/>
        </w:rPr>
        <w:t>Deviations:</w:t>
      </w:r>
    </w:p>
    <w:p w14:paraId="01424799" w14:textId="21225275" w:rsidR="00F14B77" w:rsidRPr="00C7145F" w:rsidRDefault="00F14B77" w:rsidP="003C58C0">
      <w:pPr>
        <w:pStyle w:val="ListParagraph"/>
        <w:numPr>
          <w:ilvl w:val="0"/>
          <w:numId w:val="22"/>
        </w:numPr>
        <w:spacing w:line="360" w:lineRule="auto"/>
      </w:pPr>
      <w:r w:rsidRPr="00C7145F">
        <w:t xml:space="preserve">Change in </w:t>
      </w:r>
      <w:r w:rsidR="0067645B" w:rsidRPr="00C7145F">
        <w:t xml:space="preserve">the </w:t>
      </w:r>
      <w:r w:rsidRPr="00C7145F">
        <w:t xml:space="preserve">contact data of the </w:t>
      </w:r>
      <w:r w:rsidR="008122ED" w:rsidRPr="00C7145F">
        <w:t>l</w:t>
      </w:r>
      <w:r w:rsidR="00D45EFF" w:rsidRPr="00C7145F">
        <w:t>ead partner</w:t>
      </w:r>
      <w:r w:rsidRPr="00C7145F">
        <w:t xml:space="preserve"> and partners, as well as key project management staff (contact person of the </w:t>
      </w:r>
      <w:r w:rsidR="008122ED" w:rsidRPr="00C7145F">
        <w:t>l</w:t>
      </w:r>
      <w:r w:rsidR="00D45EFF" w:rsidRPr="00C7145F">
        <w:t>ead partner</w:t>
      </w:r>
      <w:r w:rsidRPr="00C7145F">
        <w:t>, project manager), changing the person authorised to work in the SL2021 system.</w:t>
      </w:r>
    </w:p>
    <w:p w14:paraId="66C157AD" w14:textId="14AC142E" w:rsidR="00F14B77" w:rsidRPr="00C7145F" w:rsidRDefault="00F14B77" w:rsidP="003C58C0">
      <w:pPr>
        <w:spacing w:line="360" w:lineRule="auto"/>
      </w:pPr>
      <w:r w:rsidRPr="00C7145F">
        <w:t>Changes of the person allowed to introduce the data, on behalf of the partner, into the SL2021 system should be communicated to the JS immediately. A new person must obtain the rights to use the system and to process personal data in the scope required by the SL2021. The change should be notified immediately</w:t>
      </w:r>
      <w:r w:rsidR="00B7310E" w:rsidRPr="00C7145F">
        <w:t>,</w:t>
      </w:r>
      <w:r w:rsidRPr="00C7145F">
        <w:t xml:space="preserve"> </w:t>
      </w:r>
      <w:r w:rsidR="00B7310E" w:rsidRPr="00C7145F">
        <w:t>to</w:t>
      </w:r>
      <w:r w:rsidRPr="00C7145F">
        <w:t xml:space="preserve"> ensure the timely submission of all the data to the FLC and JS. The change of a person is to be communicated using </w:t>
      </w:r>
      <w:r w:rsidR="0067645B" w:rsidRPr="00C7145F">
        <w:t xml:space="preserve">the </w:t>
      </w:r>
      <w:r w:rsidRPr="00C7145F">
        <w:t xml:space="preserve">template available on the </w:t>
      </w:r>
      <w:hyperlink r:id="rId50" w:history="1">
        <w:r w:rsidR="00C7145F" w:rsidRPr="00C7145F">
          <w:rPr>
            <w:rFonts w:ascii="Open Sans ExtraBold"/>
            <w:b/>
            <w:color w:val="003399"/>
            <w:spacing w:val="-2"/>
          </w:rPr>
          <w:t>Programme website</w:t>
        </w:r>
      </w:hyperlink>
      <w:r w:rsidR="00C7145F" w:rsidRPr="00C7145F">
        <w:t>.</w:t>
      </w:r>
    </w:p>
    <w:p w14:paraId="224D704D" w14:textId="7AC83BB7" w:rsidR="00F14B77" w:rsidRPr="00C7145F" w:rsidRDefault="00F14B77" w:rsidP="003C58C0">
      <w:pPr>
        <w:pStyle w:val="ListParagraph"/>
        <w:numPr>
          <w:ilvl w:val="0"/>
          <w:numId w:val="22"/>
        </w:numPr>
        <w:spacing w:line="360" w:lineRule="auto"/>
      </w:pPr>
      <w:r w:rsidRPr="00C7145F">
        <w:t xml:space="preserve">Change in bank account number of the </w:t>
      </w:r>
      <w:r w:rsidR="008122ED" w:rsidRPr="00C7145F">
        <w:t>l</w:t>
      </w:r>
      <w:r w:rsidR="00D45EFF" w:rsidRPr="00C7145F">
        <w:t>ead partner</w:t>
      </w:r>
      <w:r w:rsidRPr="00C7145F">
        <w:t>.</w:t>
      </w:r>
    </w:p>
    <w:p w14:paraId="395FA4F4" w14:textId="2E938FC6" w:rsidR="00F14B77" w:rsidRPr="00775CE1" w:rsidRDefault="00F14B77" w:rsidP="003C58C0">
      <w:pPr>
        <w:spacing w:line="360" w:lineRule="auto"/>
      </w:pPr>
      <w:r w:rsidRPr="00775CE1">
        <w:lastRenderedPageBreak/>
        <w:t>Such changes should be notified to the JS immediately within the SL2021 system.</w:t>
      </w:r>
    </w:p>
    <w:p w14:paraId="254804DA" w14:textId="0F6EC556" w:rsidR="00F14B77" w:rsidRPr="00CD511A" w:rsidRDefault="00A3023B" w:rsidP="003C58C0">
      <w:pPr>
        <w:spacing w:line="360" w:lineRule="auto"/>
        <w:rPr>
          <w:rFonts w:ascii="Open Sans SemiBold" w:eastAsia="Open Sans SemiBold" w:hAnsi="Open Sans SemiBold" w:cs="Open Sans SemiBold"/>
          <w:bCs/>
          <w:color w:val="003399"/>
        </w:rPr>
      </w:pPr>
      <w:r w:rsidRPr="00CD511A">
        <w:rPr>
          <w:rFonts w:ascii="Open Sans SemiBold" w:eastAsia="Open Sans SemiBold" w:hAnsi="Open Sans SemiBold" w:cs="Open Sans SemiBold"/>
          <w:bCs/>
          <w:color w:val="003399"/>
        </w:rPr>
        <w:t xml:space="preserve">Project </w:t>
      </w:r>
      <w:r w:rsidR="00F14B77" w:rsidRPr="00CD511A">
        <w:rPr>
          <w:rFonts w:ascii="Open Sans SemiBold" w:eastAsia="Open Sans SemiBold" w:hAnsi="Open Sans SemiBold" w:cs="Open Sans SemiBold"/>
          <w:bCs/>
          <w:color w:val="003399"/>
        </w:rPr>
        <w:t>change:</w:t>
      </w:r>
    </w:p>
    <w:p w14:paraId="67CC292C" w14:textId="30AD954E" w:rsidR="00ED6A26" w:rsidRPr="00D8791C" w:rsidRDefault="00F14B77" w:rsidP="003C58C0">
      <w:pPr>
        <w:pStyle w:val="ListParagraph"/>
        <w:numPr>
          <w:ilvl w:val="0"/>
          <w:numId w:val="22"/>
        </w:numPr>
        <w:spacing w:line="360" w:lineRule="auto"/>
      </w:pPr>
      <w:r w:rsidRPr="00D8791C">
        <w:t>Change in legal status of the partner(s).</w:t>
      </w:r>
    </w:p>
    <w:p w14:paraId="39FBD3F8" w14:textId="04E806EA" w:rsidR="00E925BB" w:rsidRPr="00D8791C" w:rsidRDefault="00F14B77" w:rsidP="003C58C0">
      <w:pPr>
        <w:spacing w:line="360" w:lineRule="auto"/>
      </w:pPr>
      <w:r w:rsidRPr="00D8791C">
        <w:t xml:space="preserve">Any change of the legal status of a project partner must be immediately communicated to the Joint Secretariat. </w:t>
      </w:r>
      <w:r w:rsidR="0067645B" w:rsidRPr="00D8791C">
        <w:t xml:space="preserve">Depending </w:t>
      </w:r>
      <w:r w:rsidRPr="00D8791C">
        <w:t xml:space="preserve">on the change, the Subsidy Contract and/or Application Form may </w:t>
      </w:r>
      <w:r w:rsidR="0067645B" w:rsidRPr="00D8791C">
        <w:t xml:space="preserve">need to </w:t>
      </w:r>
      <w:r w:rsidRPr="00D8791C">
        <w:t xml:space="preserve">be </w:t>
      </w:r>
      <w:r w:rsidR="0067645B" w:rsidRPr="00D8791C">
        <w:t>revised</w:t>
      </w:r>
      <w:r w:rsidRPr="00D8791C">
        <w:t xml:space="preserve">; the change may also result in the withdrawal of the Partner from the project. </w:t>
      </w:r>
    </w:p>
    <w:p w14:paraId="489CBCD4" w14:textId="74952B03" w:rsidR="009D4506" w:rsidRPr="00D8791C" w:rsidRDefault="009D4506" w:rsidP="003C58C0">
      <w:pPr>
        <w:pStyle w:val="ListParagraph"/>
        <w:numPr>
          <w:ilvl w:val="0"/>
          <w:numId w:val="22"/>
        </w:numPr>
        <w:spacing w:line="360" w:lineRule="auto"/>
      </w:pPr>
      <w:r w:rsidRPr="00D8791C">
        <w:t>Change in the partnership related to the withdrawal or inclusion of the already associated partners, after signing an amendment to the Subsidy Contract</w:t>
      </w:r>
      <w:r w:rsidR="004B5E22">
        <w:t>.</w:t>
      </w:r>
    </w:p>
    <w:p w14:paraId="6BBD87DF" w14:textId="23C049B3" w:rsidR="009D4506" w:rsidRPr="00D8791C" w:rsidRDefault="009D4506" w:rsidP="003C58C0">
      <w:pPr>
        <w:pStyle w:val="ListParagraph"/>
        <w:numPr>
          <w:ilvl w:val="0"/>
          <w:numId w:val="22"/>
        </w:numPr>
        <w:spacing w:line="360" w:lineRule="auto"/>
      </w:pPr>
      <w:r w:rsidRPr="00D8791C">
        <w:t>Withdrawal of project partners (remaining project partners take over the tasks and the budget of the withdrawing partner)</w:t>
      </w:r>
      <w:r w:rsidR="0017191C" w:rsidRPr="00D8791C">
        <w:t>.</w:t>
      </w:r>
    </w:p>
    <w:p w14:paraId="3EC64817" w14:textId="360E7811" w:rsidR="009D4506" w:rsidRPr="00D8791C" w:rsidRDefault="009D4506" w:rsidP="003C58C0">
      <w:pPr>
        <w:spacing w:line="360" w:lineRule="auto"/>
      </w:pPr>
      <w:r w:rsidRPr="00D8791C">
        <w:t xml:space="preserve">If the withdrawal from the project of one partner in the partnership cannot be avoided, the ideal solution is to find a suitable replacement for the withdrawing partner, preferably from the same region/Member State. The </w:t>
      </w:r>
      <w:r w:rsidR="008122ED" w:rsidRPr="00D8791C">
        <w:t>l</w:t>
      </w:r>
      <w:r w:rsidR="00D45EFF" w:rsidRPr="00D8791C">
        <w:t>ead partner</w:t>
      </w:r>
      <w:r w:rsidRPr="00D8791C">
        <w:t xml:space="preserve"> should always verify if this option is feasible.</w:t>
      </w:r>
    </w:p>
    <w:p w14:paraId="57C862F6" w14:textId="33334CCB" w:rsidR="009D4506" w:rsidRPr="00D8791C" w:rsidRDefault="009D4506" w:rsidP="003C58C0">
      <w:pPr>
        <w:spacing w:line="360" w:lineRule="auto"/>
      </w:pPr>
      <w:r w:rsidRPr="00D8791C">
        <w:t xml:space="preserve">The other alternative is </w:t>
      </w:r>
      <w:r w:rsidR="008122ED" w:rsidRPr="00D8791C">
        <w:t>the complete</w:t>
      </w:r>
      <w:r w:rsidRPr="00D8791C">
        <w:t xml:space="preserve"> withdrawal of the project partner. </w:t>
      </w:r>
      <w:r w:rsidR="00B7310E" w:rsidRPr="00D8791C">
        <w:t>To</w:t>
      </w:r>
      <w:r w:rsidRPr="00D8791C">
        <w:t xml:space="preserve"> minimise the impact on the project, it is recommended, in this case, that an existing partner (or partners) take(s) over in full (or partly) the role and activities of the withdrawing partner. Consequently, this also means that the budget or activities may be partly reallocated.</w:t>
      </w:r>
    </w:p>
    <w:p w14:paraId="69736402" w14:textId="1A7C8D10" w:rsidR="009D4506" w:rsidRPr="009D4506" w:rsidRDefault="009D4506" w:rsidP="003C58C0">
      <w:pPr>
        <w:spacing w:line="360" w:lineRule="auto"/>
        <w:rPr>
          <w:rFonts w:ascii="Segoe UI" w:hAnsi="Segoe UI" w:cs="Segoe UI"/>
        </w:rPr>
      </w:pPr>
      <w:r w:rsidRPr="00D8791C">
        <w:t>In any case</w:t>
      </w:r>
      <w:r w:rsidR="00E412BB" w:rsidRPr="00D8791C">
        <w:t>,</w:t>
      </w:r>
      <w:r w:rsidR="00C32F77" w:rsidRPr="00D8791C">
        <w:t xml:space="preserve"> </w:t>
      </w:r>
      <w:r w:rsidRPr="00D8791C">
        <w:t xml:space="preserve">as changes in </w:t>
      </w:r>
      <w:r w:rsidR="00E412BB" w:rsidRPr="00D8791C">
        <w:t xml:space="preserve">the </w:t>
      </w:r>
      <w:r w:rsidRPr="00D8791C">
        <w:t xml:space="preserve">partnership may influence the overall structure (responsibilities, distribution of activities and budget, durability, etc.) of the project, it is recommended for the </w:t>
      </w:r>
      <w:r w:rsidR="008122ED" w:rsidRPr="00D8791C">
        <w:t>l</w:t>
      </w:r>
      <w:r w:rsidR="00D45EFF" w:rsidRPr="00D8791C">
        <w:t>ead partner</w:t>
      </w:r>
      <w:r w:rsidRPr="00D8791C">
        <w:t xml:space="preserve"> to contact the Joint Secretariat </w:t>
      </w:r>
      <w:r w:rsidRPr="00D8791C">
        <w:lastRenderedPageBreak/>
        <w:t xml:space="preserve">beforehand. This would allow the </w:t>
      </w:r>
      <w:r w:rsidR="008122ED" w:rsidRPr="00D8791C">
        <w:t>l</w:t>
      </w:r>
      <w:r w:rsidR="00D45EFF" w:rsidRPr="00D8791C">
        <w:t>ead partner</w:t>
      </w:r>
      <w:r w:rsidRPr="00D8791C">
        <w:t xml:space="preserve"> to receive guidance on the application of the Programme rules on project changes.</w:t>
      </w:r>
    </w:p>
    <w:p w14:paraId="285DD36D" w14:textId="343D9976" w:rsidR="00C911A2" w:rsidRPr="00D8791C" w:rsidRDefault="00F14B77" w:rsidP="003C58C0">
      <w:pPr>
        <w:spacing w:line="360" w:lineRule="auto"/>
      </w:pPr>
      <w:r w:rsidRPr="00D8791C">
        <w:t>Major</w:t>
      </w:r>
      <w:r w:rsidR="00A3023B" w:rsidRPr="00D8791C">
        <w:t xml:space="preserve"> project</w:t>
      </w:r>
      <w:r w:rsidRPr="00D8791C">
        <w:t xml:space="preserve"> change:</w:t>
      </w:r>
    </w:p>
    <w:p w14:paraId="3A350521" w14:textId="2632B955" w:rsidR="007E70C6" w:rsidRPr="00D8791C" w:rsidRDefault="0017191C" w:rsidP="003C58C0">
      <w:pPr>
        <w:pStyle w:val="ListParagraph"/>
        <w:numPr>
          <w:ilvl w:val="0"/>
          <w:numId w:val="22"/>
        </w:numPr>
        <w:spacing w:line="360" w:lineRule="auto"/>
      </w:pPr>
      <w:r w:rsidRPr="00D8791C">
        <w:t xml:space="preserve">Change of the </w:t>
      </w:r>
      <w:r w:rsidR="008122ED" w:rsidRPr="00D8791C">
        <w:t>l</w:t>
      </w:r>
      <w:r w:rsidR="00D45EFF" w:rsidRPr="00D8791C">
        <w:t>ead partner</w:t>
      </w:r>
      <w:r w:rsidRPr="00D8791C">
        <w:t xml:space="preserve"> of the project</w:t>
      </w:r>
      <w:r w:rsidR="004B5E22">
        <w:t>.</w:t>
      </w:r>
    </w:p>
    <w:p w14:paraId="1C1699D5" w14:textId="29861567" w:rsidR="0017191C" w:rsidRPr="00D8791C" w:rsidRDefault="0017191C" w:rsidP="003C58C0">
      <w:pPr>
        <w:pStyle w:val="ListParagraph"/>
        <w:numPr>
          <w:ilvl w:val="0"/>
          <w:numId w:val="22"/>
        </w:numPr>
        <w:spacing w:line="360" w:lineRule="auto"/>
      </w:pPr>
      <w:r w:rsidRPr="00D8791C">
        <w:t>Including new partners to the project.</w:t>
      </w:r>
    </w:p>
    <w:p w14:paraId="3416E665" w14:textId="567D24D6" w:rsidR="00F14B77" w:rsidRPr="00D8791C" w:rsidRDefault="001A7C11" w:rsidP="003C58C0">
      <w:pPr>
        <w:pStyle w:val="Heading3"/>
        <w:spacing w:line="360" w:lineRule="auto"/>
      </w:pPr>
      <w:bookmarkStart w:id="171" w:name="_Toc147242467"/>
      <w:r w:rsidRPr="00D8791C">
        <w:t>4</w:t>
      </w:r>
      <w:r w:rsidR="006F385D" w:rsidRPr="00D8791C">
        <w:t>.</w:t>
      </w:r>
      <w:r w:rsidR="00F14B77" w:rsidRPr="00D8791C">
        <w:t>6</w:t>
      </w:r>
      <w:r w:rsidR="00DD46BD" w:rsidRPr="00D8791C">
        <w:t xml:space="preserve"> Other changes</w:t>
      </w:r>
      <w:bookmarkEnd w:id="171"/>
    </w:p>
    <w:p w14:paraId="485CBE38" w14:textId="7286084C" w:rsidR="00F14B77" w:rsidRPr="00D8791C" w:rsidRDefault="00F14B77" w:rsidP="003C58C0">
      <w:pPr>
        <w:spacing w:line="360" w:lineRule="auto"/>
      </w:pPr>
      <w:r w:rsidRPr="00D8791C">
        <w:t xml:space="preserve">All other changes concerning project implementation that are not described in this document will be approved beforehand by the JS or the MC. The </w:t>
      </w:r>
      <w:r w:rsidR="008122ED" w:rsidRPr="00D8791C">
        <w:t>l</w:t>
      </w:r>
      <w:r w:rsidR="00D45EFF" w:rsidRPr="00D8791C">
        <w:t>ead partner</w:t>
      </w:r>
      <w:r w:rsidRPr="00D8791C">
        <w:t xml:space="preserve"> will contact the Joint Secretariat directly to agree the method of their potential introduction.</w:t>
      </w:r>
    </w:p>
    <w:p w14:paraId="349B2572" w14:textId="50CC3F07" w:rsidR="00F14B77" w:rsidRPr="00D8791C" w:rsidRDefault="001A7C11" w:rsidP="003C58C0">
      <w:pPr>
        <w:pStyle w:val="Heading3"/>
        <w:spacing w:line="360" w:lineRule="auto"/>
      </w:pPr>
      <w:bookmarkStart w:id="172" w:name="_Toc147242468"/>
      <w:r w:rsidRPr="00D8791C">
        <w:t>4</w:t>
      </w:r>
      <w:r w:rsidR="00DD46BD" w:rsidRPr="00D8791C">
        <w:t>.</w:t>
      </w:r>
      <w:r w:rsidR="00F14B77" w:rsidRPr="00D8791C">
        <w:t>7</w:t>
      </w:r>
      <w:r w:rsidR="00DD46BD" w:rsidRPr="00D8791C">
        <w:t xml:space="preserve"> Consequences of not meeting output indicators and spending targets</w:t>
      </w:r>
      <w:bookmarkEnd w:id="172"/>
    </w:p>
    <w:p w14:paraId="027A24AA" w14:textId="368AEDD2" w:rsidR="00F14B77" w:rsidRPr="00CD511A" w:rsidRDefault="00F14B77" w:rsidP="003C58C0">
      <w:pPr>
        <w:spacing w:line="360" w:lineRule="auto"/>
        <w:rPr>
          <w:rFonts w:ascii="Open Sans SemiBold" w:eastAsia="Open Sans SemiBold" w:hAnsi="Open Sans SemiBold" w:cs="Open Sans SemiBold"/>
          <w:bCs/>
          <w:color w:val="003399"/>
        </w:rPr>
      </w:pPr>
      <w:r w:rsidRPr="00CD511A">
        <w:rPr>
          <w:rFonts w:ascii="Open Sans SemiBold" w:eastAsia="Open Sans SemiBold" w:hAnsi="Open Sans SemiBold" w:cs="Open Sans SemiBold"/>
          <w:bCs/>
          <w:color w:val="003399"/>
        </w:rPr>
        <w:t>Indicators</w:t>
      </w:r>
    </w:p>
    <w:p w14:paraId="7454F984" w14:textId="31BB88C1" w:rsidR="00F14B77" w:rsidRPr="00D8791C" w:rsidRDefault="00F14B77" w:rsidP="003C58C0">
      <w:pPr>
        <w:spacing w:line="360" w:lineRule="auto"/>
      </w:pPr>
      <w:r w:rsidRPr="00D8791C">
        <w:t xml:space="preserve">Indicators are monitored in the following ways: </w:t>
      </w:r>
    </w:p>
    <w:p w14:paraId="7AF53968" w14:textId="7A75A5A1" w:rsidR="00F14B77" w:rsidRPr="00D8791C" w:rsidRDefault="00783CD9" w:rsidP="003C58C0">
      <w:pPr>
        <w:pStyle w:val="ListParagraph"/>
        <w:numPr>
          <w:ilvl w:val="0"/>
          <w:numId w:val="22"/>
        </w:numPr>
        <w:spacing w:line="360" w:lineRule="auto"/>
      </w:pPr>
      <w:r>
        <w:t>T</w:t>
      </w:r>
      <w:r w:rsidR="00F14B77" w:rsidRPr="00D8791C">
        <w:t>he progress in achiev</w:t>
      </w:r>
      <w:r w:rsidR="00E412BB" w:rsidRPr="00D8791C">
        <w:t>ing</w:t>
      </w:r>
      <w:r w:rsidR="00F14B77" w:rsidRPr="00D8791C">
        <w:t xml:space="preserve"> the project output indicators is monitored with each project progress report</w:t>
      </w:r>
      <w:r>
        <w:t>.</w:t>
      </w:r>
    </w:p>
    <w:p w14:paraId="2CA83FBF" w14:textId="1423C130" w:rsidR="00F14B77" w:rsidRPr="00D8791C" w:rsidRDefault="00783CD9" w:rsidP="003C58C0">
      <w:pPr>
        <w:pStyle w:val="ListParagraph"/>
        <w:numPr>
          <w:ilvl w:val="0"/>
          <w:numId w:val="22"/>
        </w:numPr>
        <w:spacing w:line="360" w:lineRule="auto"/>
      </w:pPr>
      <w:r>
        <w:t>T</w:t>
      </w:r>
      <w:r w:rsidR="00F14B77" w:rsidRPr="00D8791C">
        <w:t>he achievement and quality of the project output</w:t>
      </w:r>
      <w:r w:rsidR="002039FC" w:rsidRPr="00D8791C">
        <w:t xml:space="preserve"> indicator(s)</w:t>
      </w:r>
      <w:r w:rsidR="00F14B77" w:rsidRPr="00D8791C">
        <w:t xml:space="preserve"> is monitored in the final project progress report</w:t>
      </w:r>
      <w:r>
        <w:t>.</w:t>
      </w:r>
    </w:p>
    <w:p w14:paraId="66184D01" w14:textId="763B6730" w:rsidR="00F14B77" w:rsidRPr="00D8791C" w:rsidRDefault="00783CD9" w:rsidP="003C58C0">
      <w:pPr>
        <w:pStyle w:val="ListParagraph"/>
        <w:numPr>
          <w:ilvl w:val="0"/>
          <w:numId w:val="22"/>
        </w:numPr>
        <w:spacing w:line="360" w:lineRule="auto"/>
      </w:pPr>
      <w:r>
        <w:t>T</w:t>
      </w:r>
      <w:r w:rsidR="00F14B77" w:rsidRPr="00D8791C">
        <w:t>he achievement of the deliverables is monitored with each project progress report.</w:t>
      </w:r>
    </w:p>
    <w:p w14:paraId="4D4EFDFF" w14:textId="6015E687" w:rsidR="00F14B77" w:rsidRPr="00D8791C" w:rsidRDefault="008C4619" w:rsidP="003C58C0">
      <w:pPr>
        <w:spacing w:line="360" w:lineRule="auto"/>
      </w:pPr>
      <w:r w:rsidRPr="00D8791C">
        <w:t>C</w:t>
      </w:r>
      <w:r w:rsidR="00F14B77" w:rsidRPr="00D8791C">
        <w:t>lose cooperation between the supported partnerships and the Joint Secretariat is crucial for the successful implementation of each funded project. The Joint Secretariat will ensure not only the monitoring of each project</w:t>
      </w:r>
      <w:r w:rsidR="00580541" w:rsidRPr="00D8791C">
        <w:t>’</w:t>
      </w:r>
      <w:r w:rsidR="00F14B77" w:rsidRPr="00D8791C">
        <w:t>s progress, but also within the scope of their duties</w:t>
      </w:r>
      <w:r w:rsidRPr="00D8791C">
        <w:t>,</w:t>
      </w:r>
      <w:r w:rsidR="00F14B77" w:rsidRPr="00D8791C">
        <w:t xml:space="preserve"> the Joint Secretariat will provide guidance on how to deal with implementation challenges and unforeseen situations. Nevertheless, it is important to remember that the Programme is implemented </w:t>
      </w:r>
      <w:r w:rsidR="00F14B77" w:rsidRPr="00D8791C">
        <w:lastRenderedPageBreak/>
        <w:t xml:space="preserve">through the </w:t>
      </w:r>
      <w:r w:rsidR="008122ED" w:rsidRPr="00D8791C">
        <w:t>l</w:t>
      </w:r>
      <w:r w:rsidR="00D45EFF" w:rsidRPr="00D8791C">
        <w:t>ead partner</w:t>
      </w:r>
      <w:r w:rsidR="00F14B77" w:rsidRPr="00D8791C">
        <w:t xml:space="preserve"> principle</w:t>
      </w:r>
      <w:r w:rsidR="00C32F77" w:rsidRPr="00D8791C">
        <w:t xml:space="preserve"> – </w:t>
      </w:r>
      <w:r w:rsidR="00F14B77" w:rsidRPr="00D8791C">
        <w:t xml:space="preserve">the </w:t>
      </w:r>
      <w:r w:rsidR="008122ED" w:rsidRPr="00D8791C">
        <w:t>l</w:t>
      </w:r>
      <w:r w:rsidR="00D45EFF" w:rsidRPr="00D8791C">
        <w:t>ead partner</w:t>
      </w:r>
      <w:r w:rsidR="00C128B8" w:rsidRPr="00D8791C">
        <w:t xml:space="preserve"> </w:t>
      </w:r>
      <w:r w:rsidR="00F14B77" w:rsidRPr="00D8791C">
        <w:t xml:space="preserve">bears overall responsibility for the project to the partnership and the Programme. Part of the overall responsibility is the delivery of the project outputs and </w:t>
      </w:r>
      <w:r w:rsidR="00201A4A" w:rsidRPr="00D8791C">
        <w:t>results;</w:t>
      </w:r>
      <w:r w:rsidR="00F14B77" w:rsidRPr="00D8791C">
        <w:t xml:space="preserve"> therefore</w:t>
      </w:r>
      <w:r w:rsidR="00201A4A" w:rsidRPr="00D8791C">
        <w:t>,</w:t>
      </w:r>
      <w:r w:rsidR="00F14B77" w:rsidRPr="00D8791C">
        <w:t xml:space="preserve"> each </w:t>
      </w:r>
      <w:r w:rsidR="008122ED" w:rsidRPr="00D8791C">
        <w:t>l</w:t>
      </w:r>
      <w:r w:rsidR="00D45EFF" w:rsidRPr="00D8791C">
        <w:t>ead partner</w:t>
      </w:r>
      <w:r w:rsidR="00C128B8" w:rsidRPr="00D8791C">
        <w:t xml:space="preserve"> </w:t>
      </w:r>
      <w:r w:rsidR="00F14B77" w:rsidRPr="00D8791C">
        <w:t xml:space="preserve">is strongly advised to contact the Joint Secretariat </w:t>
      </w:r>
      <w:r w:rsidR="00AE2E31" w:rsidRPr="00D8791C">
        <w:t>on</w:t>
      </w:r>
      <w:r w:rsidR="00F14B77" w:rsidRPr="00D8791C">
        <w:t xml:space="preserve"> the first indications of the risk of underachievement of the project</w:t>
      </w:r>
      <w:r w:rsidR="00580541" w:rsidRPr="00D8791C">
        <w:t>’</w:t>
      </w:r>
      <w:r w:rsidR="00F14B77" w:rsidRPr="00D8791C">
        <w:t>s outputs</w:t>
      </w:r>
      <w:r w:rsidRPr="00D8791C">
        <w:t>,</w:t>
      </w:r>
      <w:r w:rsidR="00F14B77" w:rsidRPr="00D8791C">
        <w:t xml:space="preserve"> indicators and results.</w:t>
      </w:r>
    </w:p>
    <w:p w14:paraId="5A3813B4" w14:textId="42BD789A" w:rsidR="00F14B77" w:rsidRDefault="00F14B77" w:rsidP="003C58C0">
      <w:pPr>
        <w:spacing w:line="360" w:lineRule="auto"/>
        <w:rPr>
          <w:rFonts w:ascii="Segoe UI" w:hAnsi="Segoe UI" w:cs="Segoe UI"/>
          <w:lang w:val="en-GB"/>
        </w:rPr>
      </w:pPr>
      <w:r w:rsidRPr="00D8791C">
        <w:t>In the light of the Programme</w:t>
      </w:r>
      <w:r w:rsidR="00580541" w:rsidRPr="00D8791C">
        <w:t>’</w:t>
      </w:r>
      <w:r w:rsidRPr="00D8791C">
        <w:t xml:space="preserve">s responsibility </w:t>
      </w:r>
      <w:r w:rsidR="008C4619" w:rsidRPr="00D8791C">
        <w:t xml:space="preserve">to </w:t>
      </w:r>
      <w:r w:rsidRPr="00D8791C">
        <w:t>efficient</w:t>
      </w:r>
      <w:r w:rsidR="008C4619" w:rsidRPr="00D8791C">
        <w:t>ly</w:t>
      </w:r>
      <w:r w:rsidRPr="00D8791C">
        <w:t xml:space="preserve"> and effective</w:t>
      </w:r>
      <w:r w:rsidR="008C4619" w:rsidRPr="00D8791C">
        <w:t>ly implement the</w:t>
      </w:r>
      <w:r w:rsidRPr="00D8791C">
        <w:t xml:space="preserve"> ERDF, projects should strive to achieve the target values and quality of </w:t>
      </w:r>
      <w:r w:rsidR="00F51780" w:rsidRPr="00D8791C">
        <w:t xml:space="preserve">the </w:t>
      </w:r>
      <w:r w:rsidRPr="00D8791C">
        <w:t xml:space="preserve">project output indicators and deliverables, in accordance with the Application Form. The Programme anticipates </w:t>
      </w:r>
      <w:r w:rsidR="00783CD9" w:rsidRPr="00D8791C">
        <w:t>a certain</w:t>
      </w:r>
      <w:r w:rsidRPr="00D8791C">
        <w:t xml:space="preserve"> flexibility in terms of achiev</w:t>
      </w:r>
      <w:r w:rsidR="00F51780" w:rsidRPr="00D8791C">
        <w:t>ing</w:t>
      </w:r>
      <w:r w:rsidRPr="00D8791C">
        <w:t xml:space="preserve"> the project output indicators and deliverables, in line with the requirements described in </w:t>
      </w:r>
      <w:r w:rsidR="0005529C" w:rsidRPr="00D8791C">
        <w:t>Chapter V</w:t>
      </w:r>
      <w:r w:rsidR="00024DFA">
        <w:t>I</w:t>
      </w:r>
      <w:r w:rsidR="0005529C" w:rsidRPr="00D8791C">
        <w:t xml:space="preserve">, </w:t>
      </w:r>
      <w:r w:rsidRPr="00D8791C">
        <w:t xml:space="preserve">Section </w:t>
      </w:r>
      <w:r w:rsidR="00131BB9" w:rsidRPr="00D8791C">
        <w:t>4</w:t>
      </w:r>
      <w:r w:rsidRPr="00D8791C">
        <w:t>.3 Changes to project output indicators and deliverables.</w:t>
      </w:r>
    </w:p>
    <w:p w14:paraId="3458C698" w14:textId="77777777" w:rsidR="00F14B77" w:rsidRPr="00CD511A" w:rsidRDefault="00F14B77" w:rsidP="003C58C0">
      <w:pPr>
        <w:spacing w:line="360" w:lineRule="auto"/>
        <w:rPr>
          <w:rFonts w:ascii="Open Sans SemiBold" w:eastAsia="Open Sans SemiBold" w:hAnsi="Open Sans SemiBold" w:cs="Open Sans SemiBold"/>
          <w:bCs/>
          <w:color w:val="003399"/>
        </w:rPr>
      </w:pPr>
      <w:r w:rsidRPr="00CD511A">
        <w:rPr>
          <w:rFonts w:ascii="Open Sans SemiBold" w:eastAsia="Open Sans SemiBold" w:hAnsi="Open Sans SemiBold" w:cs="Open Sans SemiBold"/>
          <w:bCs/>
          <w:color w:val="003399"/>
        </w:rPr>
        <w:t>Spending targets</w:t>
      </w:r>
    </w:p>
    <w:p w14:paraId="4CC785C4" w14:textId="18386699" w:rsidR="00F14B77" w:rsidRPr="00D8791C" w:rsidRDefault="00F84D2E" w:rsidP="003C58C0">
      <w:pPr>
        <w:spacing w:line="360" w:lineRule="auto"/>
      </w:pPr>
      <w:r w:rsidRPr="00D8791C">
        <w:t>When preparing</w:t>
      </w:r>
      <w:r w:rsidR="00F14B77" w:rsidRPr="00D8791C">
        <w:t xml:space="preserve"> the project application form</w:t>
      </w:r>
      <w:r w:rsidRPr="00D8791C">
        <w:t>,</w:t>
      </w:r>
      <w:r w:rsidR="00F14B77" w:rsidRPr="00D8791C">
        <w:t xml:space="preserve"> the </w:t>
      </w:r>
      <w:r w:rsidR="008122ED" w:rsidRPr="00D8791C">
        <w:t>l</w:t>
      </w:r>
      <w:r w:rsidR="00D45EFF" w:rsidRPr="00D8791C">
        <w:t>ead partner</w:t>
      </w:r>
      <w:r w:rsidR="00C128B8" w:rsidRPr="00D8791C">
        <w:t xml:space="preserve"> </w:t>
      </w:r>
      <w:r w:rsidR="00F14B77" w:rsidRPr="00D8791C">
        <w:t xml:space="preserve">and project partners should plan the budget carefully and set realistic spending targets. The spending forecast provided in the application form will be monitored by the Programme bodies </w:t>
      </w:r>
      <w:r w:rsidR="00B7310E" w:rsidRPr="00D8791C">
        <w:t>to</w:t>
      </w:r>
      <w:r w:rsidR="00F14B77" w:rsidRPr="00D8791C">
        <w:t xml:space="preserve"> ensure financial discipline in the projects. It is recommended that the project partners inform the </w:t>
      </w:r>
      <w:r w:rsidR="004E68A3" w:rsidRPr="00D8791C">
        <w:t>JS</w:t>
      </w:r>
      <w:r w:rsidR="00F14B77" w:rsidRPr="00D8791C">
        <w:t xml:space="preserve"> about savings</w:t>
      </w:r>
      <w:r w:rsidRPr="00D8791C">
        <w:t xml:space="preserve"> that</w:t>
      </w:r>
      <w:r w:rsidR="00F14B77" w:rsidRPr="00D8791C">
        <w:t xml:space="preserve"> occur during project implementation. If the project partners agree to release the ERDF funding that will not be used for the project activities, </w:t>
      </w:r>
      <w:r w:rsidRPr="00D8791C">
        <w:t>an</w:t>
      </w:r>
      <w:r w:rsidR="00F14B77" w:rsidRPr="00D8791C">
        <w:t xml:space="preserve"> annex of the Subsidy Contract decreasing </w:t>
      </w:r>
      <w:r w:rsidRPr="00D8791C">
        <w:t xml:space="preserve">the </w:t>
      </w:r>
      <w:r w:rsidR="00F14B77" w:rsidRPr="00D8791C">
        <w:t>value of the project co-financing should be signed</w:t>
      </w:r>
      <w:r w:rsidR="00FE5413" w:rsidRPr="00D8791C">
        <w:t xml:space="preserve"> as soon as possible</w:t>
      </w:r>
      <w:r w:rsidR="00F14B77" w:rsidRPr="00D8791C">
        <w:t>.</w:t>
      </w:r>
    </w:p>
    <w:p w14:paraId="34981E55" w14:textId="3CD8D301" w:rsidR="00F14B77" w:rsidRPr="00D8791C" w:rsidRDefault="001A7C11" w:rsidP="003C58C0">
      <w:pPr>
        <w:pStyle w:val="Heading3"/>
        <w:spacing w:line="360" w:lineRule="auto"/>
      </w:pPr>
      <w:bookmarkStart w:id="173" w:name="_Toc147242469"/>
      <w:r w:rsidRPr="00D8791C">
        <w:t>4</w:t>
      </w:r>
      <w:r w:rsidR="00DD46BD" w:rsidRPr="00D8791C">
        <w:t>.</w:t>
      </w:r>
      <w:r w:rsidR="00F14B77" w:rsidRPr="00D8791C">
        <w:t xml:space="preserve">8 </w:t>
      </w:r>
      <w:r w:rsidR="00DD46BD" w:rsidRPr="00D8791C">
        <w:t>Complaints related to the implementation of the Subsidy Contract</w:t>
      </w:r>
      <w:bookmarkEnd w:id="173"/>
    </w:p>
    <w:p w14:paraId="61583E54" w14:textId="6EB70268" w:rsidR="00B72B35" w:rsidRPr="00D8791C" w:rsidRDefault="00F14B77" w:rsidP="003C58C0">
      <w:pPr>
        <w:spacing w:line="360" w:lineRule="auto"/>
      </w:pPr>
      <w:r w:rsidRPr="00D8791C">
        <w:t xml:space="preserve">A complaint against the decision of the MA regarding the implementation of the Subsidy Contract is lodged pursuant to the provisions of the Subsidy Contract. </w:t>
      </w:r>
      <w:r w:rsidRPr="00D8791C">
        <w:lastRenderedPageBreak/>
        <w:t xml:space="preserve">Only the </w:t>
      </w:r>
      <w:r w:rsidR="008122ED" w:rsidRPr="00D8791C">
        <w:t>l</w:t>
      </w:r>
      <w:r w:rsidR="00D45EFF" w:rsidRPr="00D8791C">
        <w:t>ead partner</w:t>
      </w:r>
      <w:r w:rsidR="00C128B8" w:rsidRPr="00D8791C">
        <w:t xml:space="preserve"> </w:t>
      </w:r>
      <w:r w:rsidRPr="00D8791C">
        <w:t>of the project is entitled to file objections on the findings of the MA regarding the implementation of the Subsidy Contract. Complaints against the decision of the MA are examined by the MA.</w:t>
      </w:r>
    </w:p>
    <w:p w14:paraId="514E3023" w14:textId="23B868BA" w:rsidR="008A6E39" w:rsidRPr="000A49FB" w:rsidRDefault="001A7C11" w:rsidP="003C58C0">
      <w:pPr>
        <w:pStyle w:val="Heading2"/>
        <w:spacing w:line="360" w:lineRule="auto"/>
      </w:pPr>
      <w:bookmarkStart w:id="174" w:name="_Toc147242470"/>
      <w:r w:rsidRPr="000A49FB">
        <w:t>5</w:t>
      </w:r>
      <w:r w:rsidR="007129BE" w:rsidRPr="000A49FB">
        <w:t xml:space="preserve"> MONITORING AND REPORTING</w:t>
      </w:r>
      <w:bookmarkEnd w:id="174"/>
    </w:p>
    <w:p w14:paraId="26204DE0" w14:textId="4CAD4DCA" w:rsidR="008A6E39" w:rsidRPr="001D259B" w:rsidRDefault="001A7C11" w:rsidP="003C58C0">
      <w:pPr>
        <w:pStyle w:val="Heading3"/>
        <w:spacing w:line="360" w:lineRule="auto"/>
      </w:pPr>
      <w:bookmarkStart w:id="175" w:name="_Toc147242471"/>
      <w:r w:rsidRPr="001D259B">
        <w:t>5</w:t>
      </w:r>
      <w:r w:rsidR="008A6E39" w:rsidRPr="001D259B">
        <w:t>.1 General principles</w:t>
      </w:r>
      <w:bookmarkEnd w:id="175"/>
    </w:p>
    <w:p w14:paraId="29E0356E" w14:textId="7198CEC8" w:rsidR="008A6E39" w:rsidRPr="00CD511A" w:rsidRDefault="008A6E39" w:rsidP="003C58C0">
      <w:pPr>
        <w:pStyle w:val="BodyText"/>
        <w:spacing w:line="360" w:lineRule="auto"/>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It is the responsibility of the </w:t>
      </w:r>
      <w:r w:rsidR="008122ED" w:rsidRPr="00CD511A">
        <w:rPr>
          <w:rFonts w:ascii="Open Sans" w:eastAsiaTheme="minorHAnsi" w:hAnsi="Open Sans" w:cstheme="minorBidi"/>
          <w:color w:val="auto"/>
          <w:sz w:val="24"/>
          <w:szCs w:val="22"/>
          <w:lang w:eastAsia="en-US"/>
        </w:rPr>
        <w:t>l</w:t>
      </w:r>
      <w:r w:rsidR="00D45EFF" w:rsidRPr="00CD511A">
        <w:rPr>
          <w:rFonts w:ascii="Open Sans" w:eastAsiaTheme="minorHAnsi" w:hAnsi="Open Sans" w:cstheme="minorBidi"/>
          <w:color w:val="auto"/>
          <w:sz w:val="24"/>
          <w:szCs w:val="22"/>
          <w:lang w:eastAsia="en-US"/>
        </w:rPr>
        <w:t>ead partner</w:t>
      </w:r>
      <w:r w:rsidRPr="00CD511A">
        <w:rPr>
          <w:rFonts w:ascii="Open Sans" w:eastAsiaTheme="minorHAnsi" w:hAnsi="Open Sans" w:cstheme="minorBidi"/>
          <w:color w:val="auto"/>
          <w:sz w:val="24"/>
          <w:szCs w:val="22"/>
          <w:lang w:eastAsia="en-US"/>
        </w:rPr>
        <w:t xml:space="preserve"> to ensure the quality of the implementation of the project by monitoring and reporting the progress of the project. This includes a </w:t>
      </w:r>
      <w:r w:rsidR="003761D3" w:rsidRPr="00CD511A">
        <w:rPr>
          <w:rFonts w:ascii="Open Sans" w:eastAsiaTheme="minorHAnsi" w:hAnsi="Open Sans" w:cstheme="minorBidi"/>
          <w:color w:val="auto"/>
          <w:sz w:val="24"/>
          <w:szCs w:val="22"/>
          <w:lang w:eastAsia="en-US"/>
        </w:rPr>
        <w:t>follow-</w:t>
      </w:r>
      <w:r w:rsidRPr="00CD511A">
        <w:rPr>
          <w:rFonts w:ascii="Open Sans" w:eastAsiaTheme="minorHAnsi" w:hAnsi="Open Sans" w:cstheme="minorBidi"/>
          <w:color w:val="auto"/>
          <w:sz w:val="24"/>
          <w:szCs w:val="22"/>
          <w:lang w:eastAsia="en-US"/>
        </w:rPr>
        <w:t>up and assessment of the quality of the Partner’s achievements</w:t>
      </w:r>
      <w:r w:rsidR="003761D3" w:rsidRPr="00CD511A">
        <w:rPr>
          <w:rFonts w:ascii="Open Sans" w:eastAsiaTheme="minorHAnsi" w:hAnsi="Open Sans" w:cstheme="minorBidi"/>
          <w:color w:val="auto"/>
          <w:sz w:val="24"/>
          <w:szCs w:val="22"/>
          <w:lang w:eastAsia="en-US"/>
        </w:rPr>
        <w:t>, and</w:t>
      </w:r>
      <w:r w:rsidRPr="00CD511A">
        <w:rPr>
          <w:rFonts w:ascii="Open Sans" w:eastAsiaTheme="minorHAnsi" w:hAnsi="Open Sans" w:cstheme="minorBidi"/>
          <w:color w:val="auto"/>
          <w:sz w:val="24"/>
          <w:szCs w:val="22"/>
          <w:lang w:eastAsia="en-US"/>
        </w:rPr>
        <w:t xml:space="preserve"> a full overview of the overall progress of the project.</w:t>
      </w:r>
    </w:p>
    <w:p w14:paraId="196E8498" w14:textId="0A96031C" w:rsidR="008A6E39" w:rsidRPr="00CD511A" w:rsidRDefault="008A6E39" w:rsidP="003C58C0">
      <w:pPr>
        <w:pStyle w:val="BodyText"/>
        <w:spacing w:line="360" w:lineRule="auto"/>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The project progress report is the main instrument for project monitoring. </w:t>
      </w:r>
      <w:r w:rsidR="003761D3" w:rsidRPr="00CD511A">
        <w:rPr>
          <w:rFonts w:ascii="Open Sans" w:eastAsiaTheme="minorHAnsi" w:hAnsi="Open Sans" w:cstheme="minorBidi"/>
          <w:color w:val="auto"/>
          <w:sz w:val="24"/>
          <w:szCs w:val="22"/>
          <w:lang w:eastAsia="en-US"/>
        </w:rPr>
        <w:t>T</w:t>
      </w:r>
      <w:r w:rsidRPr="00CD511A">
        <w:rPr>
          <w:rFonts w:ascii="Open Sans" w:eastAsiaTheme="minorHAnsi" w:hAnsi="Open Sans" w:cstheme="minorBidi"/>
          <w:color w:val="auto"/>
          <w:sz w:val="24"/>
          <w:szCs w:val="22"/>
          <w:lang w:eastAsia="en-US"/>
        </w:rPr>
        <w:t>he JS monitors the implementation of projects</w:t>
      </w:r>
      <w:r w:rsidR="003761D3" w:rsidRPr="00CD511A">
        <w:rPr>
          <w:rFonts w:ascii="Open Sans" w:eastAsiaTheme="minorHAnsi" w:hAnsi="Open Sans" w:cstheme="minorBidi"/>
          <w:color w:val="auto"/>
          <w:sz w:val="24"/>
          <w:szCs w:val="22"/>
          <w:lang w:eastAsia="en-US"/>
        </w:rPr>
        <w:t xml:space="preserve"> based on this report</w:t>
      </w:r>
      <w:r w:rsidRPr="00CD511A">
        <w:rPr>
          <w:rFonts w:ascii="Open Sans" w:eastAsiaTheme="minorHAnsi" w:hAnsi="Open Sans" w:cstheme="minorBidi"/>
          <w:color w:val="auto"/>
          <w:sz w:val="24"/>
          <w:szCs w:val="22"/>
          <w:lang w:eastAsia="en-US"/>
        </w:rPr>
        <w:t xml:space="preserve">. At the same time, the project progress report is a tool for the </w:t>
      </w:r>
      <w:r w:rsidR="008122ED" w:rsidRPr="00CD511A">
        <w:rPr>
          <w:rFonts w:ascii="Open Sans" w:eastAsiaTheme="minorHAnsi" w:hAnsi="Open Sans" w:cstheme="minorBidi"/>
          <w:color w:val="auto"/>
          <w:sz w:val="24"/>
          <w:szCs w:val="22"/>
          <w:lang w:eastAsia="en-US"/>
        </w:rPr>
        <w:t>lead partners</w:t>
      </w:r>
      <w:r w:rsidRPr="00CD511A">
        <w:rPr>
          <w:rFonts w:ascii="Open Sans" w:eastAsiaTheme="minorHAnsi" w:hAnsi="Open Sans" w:cstheme="minorBidi"/>
          <w:color w:val="auto"/>
          <w:sz w:val="24"/>
          <w:szCs w:val="22"/>
          <w:lang w:eastAsia="en-US"/>
        </w:rPr>
        <w:t xml:space="preserve"> to follow up on the activities and costs incurred among the project partners.</w:t>
      </w:r>
    </w:p>
    <w:p w14:paraId="3FE18792" w14:textId="77777777" w:rsidR="008A6E39" w:rsidRPr="00CD511A" w:rsidRDefault="008A6E39" w:rsidP="003C58C0">
      <w:pPr>
        <w:pStyle w:val="BodyText"/>
        <w:spacing w:line="360" w:lineRule="auto"/>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Project monitoring encompasses such issues as:</w:t>
      </w:r>
    </w:p>
    <w:p w14:paraId="7D77CA5B" w14:textId="0C4CCC76" w:rsidR="008A6E39" w:rsidRPr="000A49FB" w:rsidRDefault="00783CD9" w:rsidP="003C58C0">
      <w:pPr>
        <w:pStyle w:val="ListParagraph"/>
        <w:numPr>
          <w:ilvl w:val="0"/>
          <w:numId w:val="22"/>
        </w:numPr>
        <w:spacing w:line="360" w:lineRule="auto"/>
      </w:pPr>
      <w:r>
        <w:t>E</w:t>
      </w:r>
      <w:r w:rsidR="008A6E39" w:rsidRPr="000A49FB">
        <w:t>ffectiveness and efficiency of project implementation: compliance with the workplan in the Application Form (considering flexibility limits), financial report</w:t>
      </w:r>
      <w:r w:rsidR="000E1F59" w:rsidRPr="000A49FB">
        <w:t>ing</w:t>
      </w:r>
      <w:r w:rsidR="008A6E39" w:rsidRPr="000A49FB">
        <w:t xml:space="preserve">, progress towards achieving </w:t>
      </w:r>
      <w:r w:rsidR="000E1F59" w:rsidRPr="000A49FB">
        <w:t xml:space="preserve">the </w:t>
      </w:r>
      <w:r w:rsidR="008A6E39" w:rsidRPr="000A49FB">
        <w:t>planned deliverables, outputs and results, potential problems and risks</w:t>
      </w:r>
      <w:r>
        <w:t>.</w:t>
      </w:r>
    </w:p>
    <w:p w14:paraId="00AD3456" w14:textId="7A78CEA2" w:rsidR="008A6E39" w:rsidRPr="000A49FB" w:rsidRDefault="00783CD9" w:rsidP="003C58C0">
      <w:pPr>
        <w:pStyle w:val="ListParagraph"/>
        <w:numPr>
          <w:ilvl w:val="0"/>
          <w:numId w:val="22"/>
        </w:numPr>
        <w:spacing w:line="360" w:lineRule="auto"/>
      </w:pPr>
      <w:r>
        <w:t>Q</w:t>
      </w:r>
      <w:r w:rsidR="008A6E39" w:rsidRPr="000A49FB">
        <w:t>uality of the management and communication.</w:t>
      </w:r>
    </w:p>
    <w:p w14:paraId="5571E837" w14:textId="62CA16DB" w:rsidR="0013230F" w:rsidRPr="00CD511A" w:rsidRDefault="008A6E39" w:rsidP="003C58C0">
      <w:pPr>
        <w:pStyle w:val="BodyText"/>
        <w:spacing w:line="360" w:lineRule="auto"/>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For small-scale and seed money projects</w:t>
      </w:r>
      <w:r w:rsidR="000E1F59" w:rsidRPr="00CD511A">
        <w:rPr>
          <w:rFonts w:ascii="Open Sans" w:eastAsiaTheme="minorHAnsi" w:hAnsi="Open Sans" w:cstheme="minorBidi"/>
          <w:color w:val="auto"/>
          <w:sz w:val="24"/>
          <w:szCs w:val="22"/>
          <w:lang w:eastAsia="en-US"/>
        </w:rPr>
        <w:t>,</w:t>
      </w:r>
      <w:r w:rsidRPr="00CD511A">
        <w:rPr>
          <w:rFonts w:ascii="Open Sans" w:eastAsiaTheme="minorHAnsi" w:hAnsi="Open Sans" w:cstheme="minorBidi"/>
          <w:color w:val="auto"/>
          <w:sz w:val="24"/>
          <w:szCs w:val="22"/>
          <w:lang w:eastAsia="en-US"/>
        </w:rPr>
        <w:t xml:space="preserve"> separate Terms of Reference are introduced that regulate certain parts of the monitoring and reporting process. </w:t>
      </w:r>
      <w:r w:rsidR="004261DF" w:rsidRPr="00CD511A">
        <w:rPr>
          <w:rFonts w:ascii="Open Sans" w:eastAsiaTheme="minorHAnsi" w:hAnsi="Open Sans" w:cstheme="minorBidi"/>
          <w:color w:val="auto"/>
          <w:sz w:val="24"/>
          <w:szCs w:val="22"/>
          <w:lang w:eastAsia="en-US"/>
        </w:rPr>
        <w:t>For</w:t>
      </w:r>
      <w:r w:rsidRPr="00CD511A">
        <w:rPr>
          <w:rFonts w:ascii="Open Sans" w:eastAsiaTheme="minorHAnsi" w:hAnsi="Open Sans" w:cstheme="minorBidi"/>
          <w:color w:val="auto"/>
          <w:sz w:val="24"/>
          <w:szCs w:val="22"/>
          <w:lang w:eastAsia="en-US"/>
        </w:rPr>
        <w:t xml:space="preserve"> procedures not regulated by the Terms of Refence, the rules of the Programme Manual apply. </w:t>
      </w:r>
    </w:p>
    <w:p w14:paraId="018DFFBA" w14:textId="77777777" w:rsidR="0013230F" w:rsidRPr="00CD511A" w:rsidRDefault="0013230F" w:rsidP="003C58C0">
      <w:pPr>
        <w:spacing w:line="360" w:lineRule="auto"/>
        <w:rPr>
          <w:rFonts w:ascii="Open Sans SemiBold" w:eastAsia="Open Sans SemiBold" w:hAnsi="Open Sans SemiBold" w:cs="Open Sans SemiBold"/>
          <w:bCs/>
          <w:color w:val="003399"/>
        </w:rPr>
      </w:pPr>
      <w:r w:rsidRPr="00CD511A">
        <w:rPr>
          <w:rFonts w:ascii="Open Sans SemiBold" w:eastAsia="Open Sans SemiBold" w:hAnsi="Open Sans SemiBold" w:cs="Open Sans SemiBold"/>
          <w:bCs/>
          <w:color w:val="003399"/>
        </w:rPr>
        <w:t>Reporting and electronic exchange of documents and data</w:t>
      </w:r>
    </w:p>
    <w:p w14:paraId="73C33564" w14:textId="3CFEB83B" w:rsidR="00CE5E62" w:rsidRPr="00CD511A" w:rsidRDefault="0013230F" w:rsidP="003C58C0">
      <w:pPr>
        <w:pStyle w:val="BodyText"/>
        <w:spacing w:line="360" w:lineRule="auto"/>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lastRenderedPageBreak/>
        <w:t xml:space="preserve">Reporting </w:t>
      </w:r>
      <w:r w:rsidR="000E1F59" w:rsidRPr="00CD511A">
        <w:rPr>
          <w:rFonts w:ascii="Open Sans" w:eastAsiaTheme="minorHAnsi" w:hAnsi="Open Sans" w:cstheme="minorBidi"/>
          <w:color w:val="auto"/>
          <w:sz w:val="24"/>
          <w:szCs w:val="22"/>
          <w:lang w:eastAsia="en-US"/>
        </w:rPr>
        <w:t>with</w:t>
      </w:r>
      <w:r w:rsidRPr="00CD511A">
        <w:rPr>
          <w:rFonts w:ascii="Open Sans" w:eastAsiaTheme="minorHAnsi" w:hAnsi="Open Sans" w:cstheme="minorBidi"/>
          <w:color w:val="auto"/>
          <w:sz w:val="24"/>
          <w:szCs w:val="22"/>
          <w:lang w:eastAsia="en-US"/>
        </w:rPr>
        <w:t xml:space="preserve">in the project and </w:t>
      </w:r>
      <w:r w:rsidR="000E1F59" w:rsidRPr="00CD511A">
        <w:rPr>
          <w:rFonts w:ascii="Open Sans" w:eastAsiaTheme="minorHAnsi" w:hAnsi="Open Sans" w:cstheme="minorBidi"/>
          <w:color w:val="auto"/>
          <w:sz w:val="24"/>
          <w:szCs w:val="22"/>
          <w:lang w:eastAsia="en-US"/>
        </w:rPr>
        <w:t xml:space="preserve">the </w:t>
      </w:r>
      <w:r w:rsidRPr="00CD511A">
        <w:rPr>
          <w:rFonts w:ascii="Open Sans" w:eastAsiaTheme="minorHAnsi" w:hAnsi="Open Sans" w:cstheme="minorBidi"/>
          <w:color w:val="auto"/>
          <w:sz w:val="24"/>
          <w:szCs w:val="22"/>
          <w:lang w:eastAsia="en-US"/>
        </w:rPr>
        <w:t xml:space="preserve">exchange of project implementation data and documents between the project partners and the Programme institutions will be carried out in the SL2021 system. The </w:t>
      </w:r>
      <w:r w:rsidR="003F6A61" w:rsidRPr="00CD511A">
        <w:rPr>
          <w:rFonts w:ascii="Open Sans" w:eastAsiaTheme="minorHAnsi" w:hAnsi="Open Sans" w:cstheme="minorBidi"/>
          <w:color w:val="auto"/>
          <w:sz w:val="24"/>
          <w:szCs w:val="22"/>
          <w:lang w:eastAsia="en-US"/>
        </w:rPr>
        <w:t>MA</w:t>
      </w:r>
      <w:r w:rsidRPr="00CD511A">
        <w:rPr>
          <w:rFonts w:ascii="Open Sans" w:eastAsiaTheme="minorHAnsi" w:hAnsi="Open Sans" w:cstheme="minorBidi"/>
          <w:color w:val="auto"/>
          <w:sz w:val="24"/>
          <w:szCs w:val="22"/>
          <w:lang w:eastAsia="en-US"/>
        </w:rPr>
        <w:t xml:space="preserve"> will ensure the functioning of the SL2021 system, </w:t>
      </w:r>
      <w:r w:rsidR="000E1F59" w:rsidRPr="00CD511A">
        <w:rPr>
          <w:rFonts w:ascii="Open Sans" w:eastAsiaTheme="minorHAnsi" w:hAnsi="Open Sans" w:cstheme="minorBidi"/>
          <w:color w:val="auto"/>
          <w:sz w:val="24"/>
          <w:szCs w:val="22"/>
          <w:lang w:eastAsia="en-US"/>
        </w:rPr>
        <w:t xml:space="preserve">and the </w:t>
      </w:r>
      <w:r w:rsidRPr="00CD511A">
        <w:rPr>
          <w:rFonts w:ascii="Open Sans" w:eastAsiaTheme="minorHAnsi" w:hAnsi="Open Sans" w:cstheme="minorBidi"/>
          <w:color w:val="auto"/>
          <w:sz w:val="24"/>
          <w:szCs w:val="22"/>
          <w:lang w:eastAsia="en-US"/>
        </w:rPr>
        <w:t xml:space="preserve">project and </w:t>
      </w:r>
      <w:r w:rsidR="008122ED" w:rsidRPr="00CD511A">
        <w:rPr>
          <w:rFonts w:ascii="Open Sans" w:eastAsiaTheme="minorHAnsi" w:hAnsi="Open Sans" w:cstheme="minorBidi"/>
          <w:color w:val="auto"/>
          <w:sz w:val="24"/>
          <w:szCs w:val="22"/>
          <w:lang w:eastAsia="en-US"/>
        </w:rPr>
        <w:t>lead partners</w:t>
      </w:r>
      <w:r w:rsidRPr="00CD511A">
        <w:rPr>
          <w:rFonts w:ascii="Open Sans" w:eastAsiaTheme="minorHAnsi" w:hAnsi="Open Sans" w:cstheme="minorBidi"/>
          <w:color w:val="auto"/>
          <w:sz w:val="24"/>
          <w:szCs w:val="22"/>
          <w:lang w:eastAsia="en-US"/>
        </w:rPr>
        <w:t xml:space="preserve"> </w:t>
      </w:r>
      <w:r w:rsidR="000E1F59" w:rsidRPr="00CD511A">
        <w:rPr>
          <w:rFonts w:ascii="Open Sans" w:eastAsiaTheme="minorHAnsi" w:hAnsi="Open Sans" w:cstheme="minorBidi"/>
          <w:color w:val="auto"/>
          <w:sz w:val="24"/>
          <w:szCs w:val="22"/>
          <w:lang w:eastAsia="en-US"/>
        </w:rPr>
        <w:t>are</w:t>
      </w:r>
      <w:r w:rsidRPr="00CD511A">
        <w:rPr>
          <w:rFonts w:ascii="Open Sans" w:eastAsiaTheme="minorHAnsi" w:hAnsi="Open Sans" w:cstheme="minorBidi"/>
          <w:color w:val="auto"/>
          <w:sz w:val="24"/>
          <w:szCs w:val="22"/>
          <w:lang w:eastAsia="en-US"/>
        </w:rPr>
        <w:t xml:space="preserve"> </w:t>
      </w:r>
      <w:r w:rsidR="000E1F59" w:rsidRPr="00CD511A">
        <w:rPr>
          <w:rFonts w:ascii="Open Sans" w:eastAsiaTheme="minorHAnsi" w:hAnsi="Open Sans" w:cstheme="minorBidi"/>
          <w:color w:val="auto"/>
          <w:sz w:val="24"/>
          <w:szCs w:val="22"/>
          <w:lang w:eastAsia="en-US"/>
        </w:rPr>
        <w:t xml:space="preserve">obliged </w:t>
      </w:r>
      <w:r w:rsidRPr="00CD511A">
        <w:rPr>
          <w:rFonts w:ascii="Open Sans" w:eastAsiaTheme="minorHAnsi" w:hAnsi="Open Sans" w:cstheme="minorBidi"/>
          <w:color w:val="auto"/>
          <w:sz w:val="24"/>
          <w:szCs w:val="22"/>
          <w:lang w:eastAsia="en-US"/>
        </w:rPr>
        <w:t>to use the system</w:t>
      </w:r>
      <w:r w:rsidR="00AC26CD" w:rsidRPr="00CD511A">
        <w:rPr>
          <w:rFonts w:ascii="Open Sans" w:eastAsiaTheme="minorHAnsi" w:hAnsi="Open Sans" w:cstheme="minorBidi"/>
          <w:color w:val="auto"/>
          <w:sz w:val="24"/>
          <w:szCs w:val="22"/>
          <w:lang w:eastAsia="en-US"/>
        </w:rPr>
        <w:t xml:space="preserve"> (</w:t>
      </w:r>
      <w:r w:rsidR="0098375F" w:rsidRPr="00CD511A">
        <w:rPr>
          <w:rFonts w:ascii="Open Sans" w:eastAsiaTheme="minorHAnsi" w:hAnsi="Open Sans" w:cstheme="minorBidi"/>
          <w:color w:val="auto"/>
          <w:sz w:val="24"/>
          <w:szCs w:val="22"/>
          <w:lang w:eastAsia="en-US"/>
        </w:rPr>
        <w:t>see</w:t>
      </w:r>
      <w:r w:rsidR="00AC26CD" w:rsidRPr="00CD511A">
        <w:rPr>
          <w:rFonts w:ascii="Open Sans" w:eastAsiaTheme="minorHAnsi" w:hAnsi="Open Sans" w:cstheme="minorBidi"/>
          <w:color w:val="auto"/>
          <w:sz w:val="24"/>
          <w:szCs w:val="22"/>
          <w:lang w:eastAsia="en-US"/>
        </w:rPr>
        <w:t xml:space="preserve"> </w:t>
      </w:r>
      <w:r w:rsidR="00CE5E62" w:rsidRPr="00CD511A">
        <w:rPr>
          <w:rFonts w:ascii="Open Sans" w:eastAsiaTheme="minorHAnsi" w:hAnsi="Open Sans" w:cstheme="minorBidi"/>
          <w:color w:val="auto"/>
          <w:sz w:val="24"/>
          <w:szCs w:val="22"/>
          <w:lang w:eastAsia="en-US"/>
        </w:rPr>
        <w:t>Chapter V</w:t>
      </w:r>
      <w:r w:rsidR="00AC26CD" w:rsidRPr="00CD511A">
        <w:rPr>
          <w:rFonts w:ascii="Open Sans" w:eastAsiaTheme="minorHAnsi" w:hAnsi="Open Sans" w:cstheme="minorBidi"/>
          <w:color w:val="auto"/>
          <w:sz w:val="24"/>
          <w:szCs w:val="22"/>
          <w:lang w:eastAsia="en-US"/>
        </w:rPr>
        <w:t>, Section 2 Central information and communication technology system 2021).</w:t>
      </w:r>
    </w:p>
    <w:p w14:paraId="4D9D7930" w14:textId="44489DC3" w:rsidR="0013230F" w:rsidRPr="00CD511A" w:rsidRDefault="0013230F" w:rsidP="003C58C0">
      <w:pPr>
        <w:pStyle w:val="BodyText"/>
        <w:spacing w:line="360" w:lineRule="auto"/>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Use of the SL2021 application will allow project partners to complete and submit partner progress reports, correspond with the FLC, </w:t>
      </w:r>
      <w:r w:rsidR="00E30EA3" w:rsidRPr="00CD511A">
        <w:rPr>
          <w:rFonts w:ascii="Open Sans" w:eastAsiaTheme="minorHAnsi" w:hAnsi="Open Sans" w:cstheme="minorBidi"/>
          <w:color w:val="auto"/>
          <w:sz w:val="24"/>
          <w:szCs w:val="22"/>
          <w:lang w:eastAsia="en-US"/>
        </w:rPr>
        <w:t xml:space="preserve">and </w:t>
      </w:r>
      <w:r w:rsidRPr="00CD511A">
        <w:rPr>
          <w:rFonts w:ascii="Open Sans" w:eastAsiaTheme="minorHAnsi" w:hAnsi="Open Sans" w:cstheme="minorBidi"/>
          <w:color w:val="auto"/>
          <w:sz w:val="24"/>
          <w:szCs w:val="22"/>
          <w:lang w:eastAsia="en-US"/>
        </w:rPr>
        <w:t xml:space="preserve">send data on financial implementation, public procurements, contracts and information on the working time of people involved in project implementation. </w:t>
      </w:r>
    </w:p>
    <w:p w14:paraId="2D3EFD5B" w14:textId="2279B4AE" w:rsidR="0013230F" w:rsidRPr="00CD511A" w:rsidRDefault="0013230F" w:rsidP="003C58C0">
      <w:pPr>
        <w:pStyle w:val="BodyText"/>
        <w:spacing w:line="360" w:lineRule="auto"/>
        <w:rPr>
          <w:rFonts w:ascii="Open Sans" w:eastAsiaTheme="minorHAnsi" w:hAnsi="Open Sans" w:cstheme="minorBidi"/>
          <w:color w:val="auto"/>
          <w:sz w:val="24"/>
          <w:szCs w:val="22"/>
          <w:lang w:eastAsia="en-US"/>
        </w:rPr>
      </w:pPr>
      <w:r w:rsidRPr="00CD511A">
        <w:rPr>
          <w:rFonts w:ascii="Open Sans" w:eastAsiaTheme="minorHAnsi" w:hAnsi="Open Sans" w:cstheme="minorBidi"/>
          <w:color w:val="auto"/>
          <w:sz w:val="24"/>
          <w:szCs w:val="22"/>
          <w:lang w:eastAsia="en-US"/>
        </w:rPr>
        <w:t xml:space="preserve">As part of the </w:t>
      </w:r>
      <w:r w:rsidR="008122ED" w:rsidRPr="00CD511A">
        <w:rPr>
          <w:rFonts w:ascii="Open Sans" w:eastAsiaTheme="minorHAnsi" w:hAnsi="Open Sans" w:cstheme="minorBidi"/>
          <w:color w:val="auto"/>
          <w:sz w:val="24"/>
          <w:szCs w:val="22"/>
          <w:lang w:eastAsia="en-US"/>
        </w:rPr>
        <w:t>l</w:t>
      </w:r>
      <w:r w:rsidR="00D45EFF" w:rsidRPr="00CD511A">
        <w:rPr>
          <w:rFonts w:ascii="Open Sans" w:eastAsiaTheme="minorHAnsi" w:hAnsi="Open Sans" w:cstheme="minorBidi"/>
          <w:color w:val="auto"/>
          <w:sz w:val="24"/>
          <w:szCs w:val="22"/>
          <w:lang w:eastAsia="en-US"/>
        </w:rPr>
        <w:t>ead partner</w:t>
      </w:r>
      <w:r w:rsidRPr="00CD511A">
        <w:rPr>
          <w:rFonts w:ascii="Open Sans" w:eastAsiaTheme="minorHAnsi" w:hAnsi="Open Sans" w:cstheme="minorBidi"/>
          <w:color w:val="auto"/>
          <w:sz w:val="24"/>
          <w:szCs w:val="22"/>
          <w:lang w:eastAsia="en-US"/>
        </w:rPr>
        <w:t xml:space="preserve"> principle, additional tasks in the SL2021 application will be required from the </w:t>
      </w:r>
      <w:r w:rsidR="008122ED" w:rsidRPr="00CD511A">
        <w:rPr>
          <w:rFonts w:ascii="Open Sans" w:eastAsiaTheme="minorHAnsi" w:hAnsi="Open Sans" w:cstheme="minorBidi"/>
          <w:color w:val="auto"/>
          <w:sz w:val="24"/>
          <w:szCs w:val="22"/>
          <w:lang w:eastAsia="en-US"/>
        </w:rPr>
        <w:t>lead partners</w:t>
      </w:r>
      <w:r w:rsidRPr="00CD511A">
        <w:rPr>
          <w:rFonts w:ascii="Open Sans" w:eastAsiaTheme="minorHAnsi" w:hAnsi="Open Sans" w:cstheme="minorBidi"/>
          <w:color w:val="auto"/>
          <w:sz w:val="24"/>
          <w:szCs w:val="22"/>
          <w:lang w:eastAsia="en-US"/>
        </w:rPr>
        <w:t xml:space="preserve">: </w:t>
      </w:r>
    </w:p>
    <w:p w14:paraId="2D53F990" w14:textId="7197FC44" w:rsidR="0013230F" w:rsidRPr="000A49FB" w:rsidRDefault="00783CD9" w:rsidP="003C58C0">
      <w:pPr>
        <w:pStyle w:val="ListParagraph"/>
        <w:numPr>
          <w:ilvl w:val="0"/>
          <w:numId w:val="22"/>
        </w:numPr>
        <w:spacing w:line="360" w:lineRule="auto"/>
      </w:pPr>
      <w:r>
        <w:t>S</w:t>
      </w:r>
      <w:r w:rsidR="0013230F" w:rsidRPr="000A49FB">
        <w:t>ubmission of the project progress report to the JS</w:t>
      </w:r>
    </w:p>
    <w:p w14:paraId="042AFF0F" w14:textId="6EB5AA52" w:rsidR="0013230F" w:rsidRPr="000A49FB" w:rsidRDefault="00783CD9" w:rsidP="003C58C0">
      <w:pPr>
        <w:pStyle w:val="ListParagraph"/>
        <w:numPr>
          <w:ilvl w:val="0"/>
          <w:numId w:val="22"/>
        </w:numPr>
        <w:spacing w:line="360" w:lineRule="auto"/>
      </w:pPr>
      <w:r>
        <w:t>R</w:t>
      </w:r>
      <w:r w:rsidR="0013230F" w:rsidRPr="000A49FB">
        <w:t>equesting project changes</w:t>
      </w:r>
    </w:p>
    <w:p w14:paraId="3BBF4A46" w14:textId="44C91784" w:rsidR="0013230F" w:rsidRPr="000A49FB" w:rsidRDefault="00783CD9" w:rsidP="003C58C0">
      <w:pPr>
        <w:pStyle w:val="ListParagraph"/>
        <w:numPr>
          <w:ilvl w:val="0"/>
          <w:numId w:val="22"/>
        </w:numPr>
        <w:spacing w:line="360" w:lineRule="auto"/>
      </w:pPr>
      <w:r>
        <w:t>M</w:t>
      </w:r>
      <w:r w:rsidR="0013230F" w:rsidRPr="000A49FB">
        <w:t xml:space="preserve">aintaining correspondence with the JS and, </w:t>
      </w:r>
      <w:r w:rsidR="00E30EA3" w:rsidRPr="000A49FB">
        <w:t>at the</w:t>
      </w:r>
      <w:r w:rsidR="0013230F" w:rsidRPr="000A49FB">
        <w:t xml:space="preserve"> request of the JS, providing </w:t>
      </w:r>
      <w:r w:rsidR="00E30EA3" w:rsidRPr="000A49FB">
        <w:t xml:space="preserve">any </w:t>
      </w:r>
      <w:r w:rsidR="0013230F" w:rsidRPr="000A49FB">
        <w:t>required information.</w:t>
      </w:r>
    </w:p>
    <w:p w14:paraId="0CE7504D" w14:textId="34899472" w:rsidR="0013230F" w:rsidRPr="00CD511A" w:rsidRDefault="00CD511A" w:rsidP="003C58C0">
      <w:pPr>
        <w:pStyle w:val="BULLETRECOVERED"/>
        <w:numPr>
          <w:ilvl w:val="0"/>
          <w:numId w:val="0"/>
        </w:numPr>
        <w:spacing w:line="360" w:lineRule="auto"/>
        <w:rPr>
          <w:rFonts w:ascii="Open Sans" w:eastAsiaTheme="minorHAnsi" w:hAnsi="Open Sans" w:cstheme="minorBidi"/>
          <w:color w:val="auto"/>
          <w:sz w:val="24"/>
          <w:szCs w:val="22"/>
          <w:lang w:eastAsia="en-US"/>
        </w:rPr>
      </w:pPr>
      <w:r>
        <w:rPr>
          <w:rFonts w:ascii="Open Sans" w:eastAsiaTheme="minorHAnsi" w:hAnsi="Open Sans" w:cstheme="minorBidi"/>
          <w:color w:val="auto"/>
          <w:sz w:val="24"/>
          <w:szCs w:val="22"/>
          <w:lang w:eastAsia="en-US"/>
        </w:rPr>
        <w:t>Th</w:t>
      </w:r>
      <w:r w:rsidRPr="00CD511A">
        <w:rPr>
          <w:rFonts w:ascii="Open Sans" w:eastAsiaTheme="minorHAnsi" w:hAnsi="Open Sans" w:cstheme="minorBidi"/>
          <w:color w:val="auto"/>
          <w:sz w:val="24"/>
          <w:szCs w:val="22"/>
          <w:lang w:eastAsia="en-US"/>
        </w:rPr>
        <w:t>e</w:t>
      </w:r>
      <w:r w:rsidR="0013230F" w:rsidRPr="00CD511A">
        <w:rPr>
          <w:rFonts w:ascii="Open Sans" w:eastAsiaTheme="minorHAnsi" w:hAnsi="Open Sans" w:cstheme="minorBidi"/>
          <w:color w:val="auto"/>
          <w:sz w:val="24"/>
          <w:szCs w:val="22"/>
          <w:lang w:eastAsia="en-US"/>
        </w:rPr>
        <w:t xml:space="preserve"> SL2021 application will be available via a web interface</w:t>
      </w:r>
      <w:r w:rsidR="00C32F77" w:rsidRPr="00CD511A">
        <w:rPr>
          <w:rFonts w:ascii="Open Sans" w:eastAsiaTheme="minorHAnsi" w:hAnsi="Open Sans" w:cstheme="minorBidi"/>
          <w:color w:val="auto"/>
          <w:sz w:val="24"/>
          <w:szCs w:val="22"/>
          <w:lang w:eastAsia="en-US"/>
        </w:rPr>
        <w:t xml:space="preserve"> </w:t>
      </w:r>
      <w:r w:rsidR="00F02972" w:rsidRPr="00CD511A">
        <w:rPr>
          <w:rFonts w:ascii="Open Sans" w:eastAsiaTheme="minorHAnsi" w:hAnsi="Open Sans" w:cstheme="minorBidi"/>
          <w:color w:val="auto"/>
          <w:sz w:val="24"/>
          <w:szCs w:val="22"/>
          <w:lang w:eastAsia="en-US"/>
        </w:rPr>
        <w:t>through the</w:t>
      </w:r>
      <w:r w:rsidR="00C32F77" w:rsidRPr="00CD511A">
        <w:rPr>
          <w:rFonts w:ascii="Open Sans" w:eastAsiaTheme="minorHAnsi" w:hAnsi="Open Sans" w:cstheme="minorBidi"/>
          <w:color w:val="auto"/>
          <w:sz w:val="24"/>
          <w:szCs w:val="22"/>
          <w:lang w:eastAsia="en-US"/>
        </w:rPr>
        <w:t xml:space="preserve"> </w:t>
      </w:r>
      <w:r w:rsidR="0013230F" w:rsidRPr="00CD511A">
        <w:rPr>
          <w:rFonts w:ascii="Open Sans" w:eastAsiaTheme="minorHAnsi" w:hAnsi="Open Sans" w:cstheme="minorBidi"/>
          <w:color w:val="auto"/>
          <w:sz w:val="24"/>
          <w:szCs w:val="22"/>
          <w:lang w:eastAsia="en-US"/>
        </w:rPr>
        <w:t xml:space="preserve">Mozilla Firefox, Internet Explorer and Google Chrome </w:t>
      </w:r>
      <w:r w:rsidR="00F02972" w:rsidRPr="00CD511A">
        <w:rPr>
          <w:rFonts w:ascii="Open Sans" w:eastAsiaTheme="minorHAnsi" w:hAnsi="Open Sans" w:cstheme="minorBidi"/>
          <w:color w:val="auto"/>
          <w:sz w:val="24"/>
          <w:szCs w:val="22"/>
          <w:lang w:eastAsia="en-US"/>
        </w:rPr>
        <w:t xml:space="preserve">Internet </w:t>
      </w:r>
      <w:r w:rsidR="0013230F" w:rsidRPr="00CD511A">
        <w:rPr>
          <w:rFonts w:ascii="Open Sans" w:eastAsiaTheme="minorHAnsi" w:hAnsi="Open Sans" w:cstheme="minorBidi"/>
          <w:color w:val="auto"/>
          <w:sz w:val="24"/>
          <w:szCs w:val="22"/>
          <w:lang w:eastAsia="en-US"/>
        </w:rPr>
        <w:t xml:space="preserve">browsers. Detailed information on the system, including a description of </w:t>
      </w:r>
      <w:r w:rsidR="00F02972" w:rsidRPr="00CD511A">
        <w:rPr>
          <w:rFonts w:ascii="Open Sans" w:eastAsiaTheme="minorHAnsi" w:hAnsi="Open Sans" w:cstheme="minorBidi"/>
          <w:color w:val="auto"/>
          <w:sz w:val="24"/>
          <w:szCs w:val="22"/>
          <w:lang w:eastAsia="en-US"/>
        </w:rPr>
        <w:t xml:space="preserve">its </w:t>
      </w:r>
      <w:r w:rsidR="0013230F" w:rsidRPr="00CD511A">
        <w:rPr>
          <w:rFonts w:ascii="Open Sans" w:eastAsiaTheme="minorHAnsi" w:hAnsi="Open Sans" w:cstheme="minorBidi"/>
          <w:color w:val="auto"/>
          <w:sz w:val="24"/>
          <w:szCs w:val="22"/>
          <w:lang w:eastAsia="en-US"/>
        </w:rPr>
        <w:t xml:space="preserve">functionality and technical details, will be included in the Subsidy Contract, Partnership Agreement </w:t>
      </w:r>
      <w:r w:rsidR="003F6A61" w:rsidRPr="00CD511A">
        <w:rPr>
          <w:rFonts w:ascii="Open Sans" w:eastAsiaTheme="minorHAnsi" w:hAnsi="Open Sans" w:cstheme="minorBidi"/>
          <w:color w:val="auto"/>
          <w:sz w:val="24"/>
          <w:szCs w:val="22"/>
          <w:lang w:eastAsia="en-US"/>
        </w:rPr>
        <w:t>and</w:t>
      </w:r>
      <w:r w:rsidR="0013230F" w:rsidRPr="00CD511A">
        <w:rPr>
          <w:rFonts w:ascii="Open Sans" w:eastAsiaTheme="minorHAnsi" w:hAnsi="Open Sans" w:cstheme="minorBidi"/>
          <w:color w:val="auto"/>
          <w:sz w:val="24"/>
          <w:szCs w:val="22"/>
          <w:lang w:eastAsia="en-US"/>
        </w:rPr>
        <w:t xml:space="preserve"> in the separate document </w:t>
      </w:r>
      <w:r w:rsidR="000A49FB" w:rsidRPr="00CD511A">
        <w:rPr>
          <w:rFonts w:ascii="Open Sans" w:eastAsiaTheme="minorHAnsi" w:hAnsi="Open Sans" w:cstheme="minorBidi"/>
          <w:color w:val="auto"/>
          <w:sz w:val="24"/>
          <w:szCs w:val="22"/>
          <w:lang w:eastAsia="en-US"/>
        </w:rPr>
        <w:t xml:space="preserve">- </w:t>
      </w:r>
      <w:r w:rsidR="0013230F" w:rsidRPr="00CD511A">
        <w:rPr>
          <w:rFonts w:ascii="Open Sans" w:eastAsiaTheme="minorHAnsi" w:hAnsi="Open Sans" w:cstheme="minorBidi"/>
          <w:color w:val="auto"/>
          <w:sz w:val="24"/>
          <w:szCs w:val="22"/>
          <w:lang w:eastAsia="en-US"/>
        </w:rPr>
        <w:t xml:space="preserve">SL2021 Beneficiary Manual. </w:t>
      </w:r>
    </w:p>
    <w:p w14:paraId="3EB037AE" w14:textId="22533F41" w:rsidR="00783CD9" w:rsidRPr="00B72B35" w:rsidRDefault="00CD511A" w:rsidP="003C58C0">
      <w:pPr>
        <w:pStyle w:val="BodyText"/>
        <w:spacing w:line="360" w:lineRule="auto"/>
        <w:rPr>
          <w:rFonts w:eastAsia="Open Sans"/>
        </w:rPr>
      </w:pPr>
      <w:r w:rsidRPr="002755D9">
        <w:rPr>
          <w:rFonts w:ascii="Open Sans SemiBold" w:eastAsia="Open Sans SemiBold" w:hAnsi="Open Sans SemiBold" w:cs="Open Sans SemiBold"/>
          <w:bCs/>
          <w:noProof/>
          <w:color w:val="003399"/>
        </w:rPr>
        <mc:AlternateContent>
          <mc:Choice Requires="wps">
            <w:drawing>
              <wp:inline distT="0" distB="0" distL="0" distR="0" wp14:anchorId="6EAE5DD4" wp14:editId="32527737">
                <wp:extent cx="5772150" cy="895350"/>
                <wp:effectExtent l="0" t="0" r="19050" b="19050"/>
                <wp:docPr id="2013085213"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895350"/>
                        </a:xfrm>
                        <a:prstGeom prst="rect">
                          <a:avLst/>
                        </a:prstGeom>
                        <a:ln w="12700">
                          <a:solidFill>
                            <a:srgbClr val="003399"/>
                          </a:solidFill>
                          <a:prstDash val="solid"/>
                        </a:ln>
                      </wps:spPr>
                      <wps:txbx>
                        <w:txbxContent>
                          <w:p w14:paraId="58E74C01" w14:textId="77777777" w:rsidR="00CD511A" w:rsidRPr="00DA4E94" w:rsidRDefault="00CD511A" w:rsidP="00CD511A">
                            <w:pPr>
                              <w:pStyle w:val="BodyText"/>
                              <w:rPr>
                                <w:rFonts w:ascii="Open Sans ExtraBold" w:eastAsiaTheme="minorHAnsi" w:hAnsiTheme="minorHAnsi" w:cstheme="minorBidi"/>
                                <w:b/>
                                <w:color w:val="003399"/>
                                <w:spacing w:val="-2"/>
                                <w:sz w:val="20"/>
                                <w:szCs w:val="22"/>
                                <w:lang w:eastAsia="en-US"/>
                              </w:rPr>
                            </w:pPr>
                            <w:r w:rsidRPr="00DA4E94">
                              <w:rPr>
                                <w:rFonts w:ascii="Open Sans ExtraBold" w:eastAsiaTheme="minorHAnsi" w:hAnsiTheme="minorHAnsi" w:cstheme="minorBidi"/>
                                <w:b/>
                                <w:color w:val="003399"/>
                                <w:spacing w:val="-2"/>
                                <w:sz w:val="24"/>
                                <w:szCs w:val="28"/>
                                <w:lang w:eastAsia="en-US"/>
                              </w:rPr>
                              <w:t>NB</w:t>
                            </w:r>
                            <w:r w:rsidRPr="00DA4E94">
                              <w:rPr>
                                <w:rFonts w:ascii="Open Sans ExtraBold" w:eastAsiaTheme="minorHAnsi" w:hAnsiTheme="minorHAnsi" w:cstheme="minorBidi"/>
                                <w:b/>
                                <w:color w:val="003399"/>
                                <w:spacing w:val="-2"/>
                                <w:sz w:val="20"/>
                                <w:szCs w:val="22"/>
                                <w:lang w:eastAsia="en-US"/>
                              </w:rPr>
                              <w:t xml:space="preserve">:  </w:t>
                            </w:r>
                          </w:p>
                          <w:p w14:paraId="3C5BA199" w14:textId="33E7E13A" w:rsidR="00CD511A" w:rsidRPr="00CD511A" w:rsidRDefault="00DA4E94" w:rsidP="00CD511A">
                            <w:pPr>
                              <w:pStyle w:val="BodyText"/>
                              <w:rPr>
                                <w:rFonts w:ascii="Open Sans" w:eastAsiaTheme="minorHAnsi" w:hAnsi="Open Sans" w:cstheme="minorBidi"/>
                                <w:color w:val="auto"/>
                                <w:sz w:val="24"/>
                                <w:szCs w:val="22"/>
                                <w:lang w:eastAsia="en-US"/>
                              </w:rPr>
                            </w:pPr>
                            <w:r>
                              <w:rPr>
                                <w:rFonts w:ascii="Open Sans" w:eastAsiaTheme="minorHAnsi" w:hAnsi="Open Sans" w:cstheme="minorBidi"/>
                                <w:color w:val="auto"/>
                                <w:sz w:val="24"/>
                                <w:szCs w:val="22"/>
                                <w:lang w:eastAsia="en-US"/>
                              </w:rPr>
                              <w:t>The l</w:t>
                            </w:r>
                            <w:r w:rsidR="00CD511A" w:rsidRPr="00CD511A">
                              <w:rPr>
                                <w:rFonts w:ascii="Open Sans" w:eastAsiaTheme="minorHAnsi" w:hAnsi="Open Sans" w:cstheme="minorBidi"/>
                                <w:color w:val="auto"/>
                                <w:sz w:val="24"/>
                                <w:szCs w:val="22"/>
                                <w:lang w:eastAsia="en-US"/>
                              </w:rPr>
                              <w:t xml:space="preserve">ead partner and project partners are obliged to use the English version of SL2021! </w:t>
                            </w:r>
                          </w:p>
                        </w:txbxContent>
                      </wps:txbx>
                      <wps:bodyPr wrap="square" lIns="0" tIns="0" rIns="0" bIns="0" rtlCol="0">
                        <a:noAutofit/>
                      </wps:bodyPr>
                    </wps:wsp>
                  </a:graphicData>
                </a:graphic>
              </wp:inline>
            </w:drawing>
          </mc:Choice>
          <mc:Fallback>
            <w:pict>
              <v:shape w14:anchorId="6EAE5DD4" id="_x0000_s1083" type="#_x0000_t202" style="width:454.5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" filled="f" strokecolor="#039" strokeweight="1pt">
                <v:path arrowok="t"/>
                <v:textbox inset="0,0,0,0">
                  <w:txbxContent>
                    <w:p w14:paraId="58E74C01" w14:textId="77777777" w:rsidR="00CD511A" w:rsidRPr="00DA4E94" w:rsidRDefault="00CD511A" w:rsidP="00CD511A">
                      <w:pPr>
                        <w:pStyle w:val="BodyText"/>
                        <w:rPr>
                          <w:rFonts w:ascii="Open Sans ExtraBold" w:eastAsiaTheme="minorHAnsi" w:hAnsiTheme="minorHAnsi" w:cstheme="minorBidi"/>
                          <w:b/>
                          <w:color w:val="003399"/>
                          <w:spacing w:val="-2"/>
                          <w:sz w:val="20"/>
                          <w:szCs w:val="22"/>
                          <w:lang w:eastAsia="en-US"/>
                        </w:rPr>
                      </w:pPr>
                      <w:r w:rsidRPr="00DA4E94">
                        <w:rPr>
                          <w:rFonts w:ascii="Open Sans ExtraBold" w:eastAsiaTheme="minorHAnsi" w:hAnsiTheme="minorHAnsi" w:cstheme="minorBidi"/>
                          <w:b/>
                          <w:color w:val="003399"/>
                          <w:spacing w:val="-2"/>
                          <w:sz w:val="24"/>
                          <w:szCs w:val="28"/>
                          <w:lang w:eastAsia="en-US"/>
                        </w:rPr>
                        <w:t>NB</w:t>
                      </w:r>
                      <w:r w:rsidRPr="00DA4E94">
                        <w:rPr>
                          <w:rFonts w:ascii="Open Sans ExtraBold" w:eastAsiaTheme="minorHAnsi" w:hAnsiTheme="minorHAnsi" w:cstheme="minorBidi"/>
                          <w:b/>
                          <w:color w:val="003399"/>
                          <w:spacing w:val="-2"/>
                          <w:sz w:val="20"/>
                          <w:szCs w:val="22"/>
                          <w:lang w:eastAsia="en-US"/>
                        </w:rPr>
                        <w:t xml:space="preserve">:  </w:t>
                      </w:r>
                    </w:p>
                    <w:p w14:paraId="3C5BA199" w14:textId="33E7E13A" w:rsidR="00CD511A" w:rsidRPr="00CD511A" w:rsidRDefault="00DA4E94" w:rsidP="00CD511A">
                      <w:pPr>
                        <w:pStyle w:val="BodyText"/>
                        <w:rPr>
                          <w:rFonts w:ascii="Open Sans" w:eastAsiaTheme="minorHAnsi" w:hAnsi="Open Sans" w:cstheme="minorBidi"/>
                          <w:color w:val="auto"/>
                          <w:sz w:val="24"/>
                          <w:szCs w:val="22"/>
                          <w:lang w:eastAsia="en-US"/>
                        </w:rPr>
                      </w:pPr>
                      <w:r>
                        <w:rPr>
                          <w:rFonts w:ascii="Open Sans" w:eastAsiaTheme="minorHAnsi" w:hAnsi="Open Sans" w:cstheme="minorBidi"/>
                          <w:color w:val="auto"/>
                          <w:sz w:val="24"/>
                          <w:szCs w:val="22"/>
                          <w:lang w:eastAsia="en-US"/>
                        </w:rPr>
                        <w:t>The l</w:t>
                      </w:r>
                      <w:r w:rsidR="00CD511A" w:rsidRPr="00CD511A">
                        <w:rPr>
                          <w:rFonts w:ascii="Open Sans" w:eastAsiaTheme="minorHAnsi" w:hAnsi="Open Sans" w:cstheme="minorBidi"/>
                          <w:color w:val="auto"/>
                          <w:sz w:val="24"/>
                          <w:szCs w:val="22"/>
                          <w:lang w:eastAsia="en-US"/>
                        </w:rPr>
                        <w:t xml:space="preserve">ead partner and project partners are obliged to use the English version of SL2021! </w:t>
                      </w:r>
                    </w:p>
                  </w:txbxContent>
                </v:textbox>
                <w10:anchorlock/>
              </v:shape>
            </w:pict>
          </mc:Fallback>
        </mc:AlternateContent>
      </w:r>
      <w:r w:rsidR="0013230F" w:rsidRPr="00CD511A">
        <w:rPr>
          <w:rFonts w:ascii="Open Sans" w:eastAsiaTheme="minorHAnsi" w:hAnsi="Open Sans" w:cstheme="minorBidi"/>
          <w:color w:val="auto"/>
          <w:sz w:val="24"/>
          <w:szCs w:val="22"/>
          <w:lang w:eastAsia="en-US"/>
        </w:rPr>
        <w:t>As the SL2021 system is not used exclusively for the management of the Interreg South Baltic Programme,</w:t>
      </w:r>
      <w:r w:rsidR="00F02972" w:rsidRPr="00CD511A">
        <w:rPr>
          <w:rFonts w:ascii="Open Sans" w:eastAsiaTheme="minorHAnsi" w:hAnsi="Open Sans" w:cstheme="minorBidi"/>
          <w:color w:val="auto"/>
          <w:sz w:val="24"/>
          <w:szCs w:val="22"/>
          <w:lang w:eastAsia="en-US"/>
        </w:rPr>
        <w:t xml:space="preserve"> the</w:t>
      </w:r>
      <w:r w:rsidR="0013230F" w:rsidRPr="00CD511A">
        <w:rPr>
          <w:rFonts w:ascii="Open Sans" w:eastAsiaTheme="minorHAnsi" w:hAnsi="Open Sans" w:cstheme="minorBidi"/>
          <w:color w:val="auto"/>
          <w:sz w:val="24"/>
          <w:szCs w:val="22"/>
          <w:lang w:eastAsia="en-US"/>
        </w:rPr>
        <w:t xml:space="preserve"> terminology used in the Programme documents </w:t>
      </w:r>
      <w:r w:rsidR="0013230F" w:rsidRPr="00CD511A">
        <w:rPr>
          <w:rFonts w:ascii="Open Sans" w:eastAsiaTheme="minorHAnsi" w:hAnsi="Open Sans" w:cstheme="minorBidi"/>
          <w:color w:val="auto"/>
          <w:sz w:val="24"/>
          <w:szCs w:val="22"/>
          <w:lang w:eastAsia="en-US"/>
        </w:rPr>
        <w:lastRenderedPageBreak/>
        <w:t xml:space="preserve">and the SL2021 system may vary. Specific terms used in the SL2021 system and their equivalents in this Programme Manual can </w:t>
      </w:r>
      <w:r w:rsidR="00A664A6" w:rsidRPr="00CD511A">
        <w:rPr>
          <w:rFonts w:ascii="Open Sans" w:eastAsiaTheme="minorHAnsi" w:hAnsi="Open Sans" w:cstheme="minorBidi"/>
          <w:color w:val="auto"/>
          <w:sz w:val="24"/>
          <w:szCs w:val="22"/>
          <w:lang w:eastAsia="en-US"/>
        </w:rPr>
        <w:t>b</w:t>
      </w:r>
      <w:r w:rsidR="0013230F" w:rsidRPr="00CD511A">
        <w:rPr>
          <w:rFonts w:ascii="Open Sans" w:eastAsiaTheme="minorHAnsi" w:hAnsi="Open Sans" w:cstheme="minorBidi"/>
          <w:color w:val="auto"/>
          <w:sz w:val="24"/>
          <w:szCs w:val="22"/>
          <w:lang w:eastAsia="en-US"/>
        </w:rPr>
        <w:t>e found in the SL2021 Beneficiary Manual.</w:t>
      </w:r>
    </w:p>
    <w:p w14:paraId="3EDC78CE" w14:textId="77777777" w:rsidR="0013230F" w:rsidRPr="00DA4E94" w:rsidRDefault="0013230F"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Designation of authorised persons</w:t>
      </w:r>
    </w:p>
    <w:p w14:paraId="2B133DB8" w14:textId="728DF2CA" w:rsidR="0013230F" w:rsidRPr="00DA4E94" w:rsidRDefault="00AE2E31"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On </w:t>
      </w:r>
      <w:r w:rsidR="0013230F" w:rsidRPr="00DA4E94">
        <w:rPr>
          <w:rFonts w:ascii="Open Sans" w:eastAsiaTheme="minorHAnsi" w:hAnsi="Open Sans" w:cstheme="minorBidi"/>
          <w:color w:val="auto"/>
          <w:sz w:val="24"/>
          <w:szCs w:val="22"/>
          <w:lang w:eastAsia="en-US"/>
        </w:rPr>
        <w:t xml:space="preserve">signing of the Subsidy Contract, project and </w:t>
      </w:r>
      <w:r w:rsidR="008122ED" w:rsidRPr="00DA4E94">
        <w:rPr>
          <w:rFonts w:ascii="Open Sans" w:eastAsiaTheme="minorHAnsi" w:hAnsi="Open Sans" w:cstheme="minorBidi"/>
          <w:color w:val="auto"/>
          <w:sz w:val="24"/>
          <w:szCs w:val="22"/>
          <w:lang w:eastAsia="en-US"/>
        </w:rPr>
        <w:t>lead partners</w:t>
      </w:r>
      <w:r w:rsidR="0013230F" w:rsidRPr="00DA4E94">
        <w:rPr>
          <w:rFonts w:ascii="Open Sans" w:eastAsiaTheme="minorHAnsi" w:hAnsi="Open Sans" w:cstheme="minorBidi"/>
          <w:color w:val="auto"/>
          <w:sz w:val="24"/>
          <w:szCs w:val="22"/>
          <w:lang w:eastAsia="en-US"/>
        </w:rPr>
        <w:t xml:space="preserve"> </w:t>
      </w:r>
      <w:r w:rsidR="00A47A87" w:rsidRPr="00DA4E94">
        <w:rPr>
          <w:rFonts w:ascii="Open Sans" w:eastAsiaTheme="minorHAnsi" w:hAnsi="Open Sans" w:cstheme="minorBidi"/>
          <w:color w:val="auto"/>
          <w:sz w:val="24"/>
          <w:szCs w:val="22"/>
          <w:lang w:eastAsia="en-US"/>
        </w:rPr>
        <w:t>must</w:t>
      </w:r>
      <w:r w:rsidR="0013230F" w:rsidRPr="00DA4E94">
        <w:rPr>
          <w:rFonts w:ascii="Open Sans" w:eastAsiaTheme="minorHAnsi" w:hAnsi="Open Sans" w:cstheme="minorBidi"/>
          <w:color w:val="auto"/>
          <w:sz w:val="24"/>
          <w:szCs w:val="22"/>
          <w:lang w:eastAsia="en-US"/>
        </w:rPr>
        <w:t xml:space="preserve"> authorise at least one person per partner to use the SL2021 application on their behalf. It should be highlighted that all actions of authorised persons in the SL2021 application will be legally binding. I</w:t>
      </w:r>
      <w:r w:rsidR="00D94C36" w:rsidRPr="00DA4E94">
        <w:rPr>
          <w:rFonts w:ascii="Open Sans" w:eastAsiaTheme="minorHAnsi" w:hAnsi="Open Sans" w:cstheme="minorBidi"/>
          <w:color w:val="auto"/>
          <w:sz w:val="24"/>
          <w:szCs w:val="22"/>
          <w:lang w:eastAsia="en-US"/>
        </w:rPr>
        <w:t>f</w:t>
      </w:r>
      <w:r w:rsidR="0013230F" w:rsidRPr="00DA4E94">
        <w:rPr>
          <w:rFonts w:ascii="Open Sans" w:eastAsiaTheme="minorHAnsi" w:hAnsi="Open Sans" w:cstheme="minorBidi"/>
          <w:color w:val="auto"/>
          <w:sz w:val="24"/>
          <w:szCs w:val="22"/>
          <w:lang w:eastAsia="en-US"/>
        </w:rPr>
        <w:t xml:space="preserve"> the partner decides </w:t>
      </w:r>
      <w:r w:rsidR="00D94C36" w:rsidRPr="00DA4E94">
        <w:rPr>
          <w:rFonts w:ascii="Open Sans" w:eastAsiaTheme="minorHAnsi" w:hAnsi="Open Sans" w:cstheme="minorBidi"/>
          <w:color w:val="auto"/>
          <w:sz w:val="24"/>
          <w:szCs w:val="22"/>
          <w:lang w:eastAsia="en-US"/>
        </w:rPr>
        <w:t>to</w:t>
      </w:r>
      <w:r w:rsidR="0013230F" w:rsidRPr="00DA4E94">
        <w:rPr>
          <w:rFonts w:ascii="Open Sans" w:eastAsiaTheme="minorHAnsi" w:hAnsi="Open Sans" w:cstheme="minorBidi"/>
          <w:color w:val="auto"/>
          <w:sz w:val="24"/>
          <w:szCs w:val="22"/>
          <w:lang w:eastAsia="en-US"/>
        </w:rPr>
        <w:t xml:space="preserve"> change the authorised person</w:t>
      </w:r>
      <w:r w:rsidR="00D94C36" w:rsidRPr="00DA4E94">
        <w:rPr>
          <w:rFonts w:ascii="Open Sans" w:eastAsiaTheme="minorHAnsi" w:hAnsi="Open Sans" w:cstheme="minorBidi"/>
          <w:color w:val="auto"/>
          <w:sz w:val="24"/>
          <w:szCs w:val="22"/>
          <w:lang w:eastAsia="en-US"/>
        </w:rPr>
        <w:t>,</w:t>
      </w:r>
      <w:r w:rsidR="0013230F" w:rsidRPr="00DA4E94">
        <w:rPr>
          <w:rFonts w:ascii="Open Sans" w:eastAsiaTheme="minorHAnsi" w:hAnsi="Open Sans" w:cstheme="minorBidi"/>
          <w:color w:val="auto"/>
          <w:sz w:val="24"/>
          <w:szCs w:val="22"/>
          <w:lang w:eastAsia="en-US"/>
        </w:rPr>
        <w:t xml:space="preserve"> the appropriate procedure should be followed. Procedures related to the authorisation and the change of appointed persons will be available on the Programme’s website. It is important to stress that, </w:t>
      </w:r>
      <w:r w:rsidR="00B7310E" w:rsidRPr="00DA4E94">
        <w:rPr>
          <w:rFonts w:ascii="Open Sans" w:eastAsiaTheme="minorHAnsi" w:hAnsi="Open Sans" w:cstheme="minorBidi"/>
          <w:color w:val="auto"/>
          <w:sz w:val="24"/>
          <w:szCs w:val="22"/>
          <w:lang w:eastAsia="en-US"/>
        </w:rPr>
        <w:t>to</w:t>
      </w:r>
      <w:r w:rsidR="0013230F" w:rsidRPr="00DA4E94">
        <w:rPr>
          <w:rFonts w:ascii="Open Sans" w:eastAsiaTheme="minorHAnsi" w:hAnsi="Open Sans" w:cstheme="minorBidi"/>
          <w:color w:val="auto"/>
          <w:sz w:val="24"/>
          <w:szCs w:val="22"/>
          <w:lang w:eastAsia="en-US"/>
        </w:rPr>
        <w:t xml:space="preserve"> ensure the smooth functioning of the system, project and </w:t>
      </w:r>
      <w:r w:rsidR="008122ED" w:rsidRPr="00DA4E94">
        <w:rPr>
          <w:rFonts w:ascii="Open Sans" w:eastAsiaTheme="minorHAnsi" w:hAnsi="Open Sans" w:cstheme="minorBidi"/>
          <w:color w:val="auto"/>
          <w:sz w:val="24"/>
          <w:szCs w:val="22"/>
          <w:lang w:eastAsia="en-US"/>
        </w:rPr>
        <w:t>lead partners</w:t>
      </w:r>
      <w:r w:rsidR="0013230F" w:rsidRPr="00DA4E94">
        <w:rPr>
          <w:rFonts w:ascii="Open Sans" w:eastAsiaTheme="minorHAnsi" w:hAnsi="Open Sans" w:cstheme="minorBidi"/>
          <w:color w:val="auto"/>
          <w:sz w:val="24"/>
          <w:szCs w:val="22"/>
          <w:lang w:eastAsia="en-US"/>
        </w:rPr>
        <w:t xml:space="preserve"> must inform the JS immediately if any person authorised to use the SL2021 has changed. Otherwise, access to the SL2021 will be denied. </w:t>
      </w:r>
    </w:p>
    <w:p w14:paraId="1C338F3E" w14:textId="790D963E"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To authenticate actions performed </w:t>
      </w:r>
      <w:r w:rsidR="00D94C36" w:rsidRPr="00DA4E94">
        <w:rPr>
          <w:rFonts w:ascii="Open Sans" w:eastAsiaTheme="minorHAnsi" w:hAnsi="Open Sans" w:cstheme="minorBidi"/>
          <w:color w:val="auto"/>
          <w:sz w:val="24"/>
          <w:szCs w:val="22"/>
          <w:lang w:eastAsia="en-US"/>
        </w:rPr>
        <w:t xml:space="preserve">in </w:t>
      </w:r>
      <w:r w:rsidRPr="00DA4E94">
        <w:rPr>
          <w:rFonts w:ascii="Open Sans" w:eastAsiaTheme="minorHAnsi" w:hAnsi="Open Sans" w:cstheme="minorBidi"/>
          <w:color w:val="auto"/>
          <w:sz w:val="24"/>
          <w:szCs w:val="22"/>
          <w:lang w:eastAsia="en-US"/>
        </w:rPr>
        <w:t xml:space="preserve">the SL2021 application, project partners </w:t>
      </w:r>
      <w:r w:rsidR="00A47A87" w:rsidRPr="00DA4E94">
        <w:rPr>
          <w:rFonts w:ascii="Open Sans" w:eastAsiaTheme="minorHAnsi" w:hAnsi="Open Sans" w:cstheme="minorBidi"/>
          <w:color w:val="auto"/>
          <w:sz w:val="24"/>
          <w:szCs w:val="22"/>
          <w:lang w:eastAsia="en-US"/>
        </w:rPr>
        <w:t>must</w:t>
      </w:r>
      <w:r w:rsidRPr="00DA4E94">
        <w:rPr>
          <w:rFonts w:ascii="Open Sans" w:eastAsiaTheme="minorHAnsi" w:hAnsi="Open Sans" w:cstheme="minorBidi"/>
          <w:color w:val="auto"/>
          <w:sz w:val="24"/>
          <w:szCs w:val="22"/>
          <w:lang w:eastAsia="en-US"/>
        </w:rPr>
        <w:t xml:space="preserve"> follow certain rules, which depend on their Member State of origin.</w:t>
      </w:r>
    </w:p>
    <w:p w14:paraId="010AF75F" w14:textId="1949D012"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Persons authorised by Polish project partners use the ePUAP trusted profile or secure electronic signature verified with a valid eligible certificate under the SL2021 system. If, for technical reasons, the ePUAP trusted profile cannot be used, authentication will take place using the login and password generated by the SL2021 system, where the PESEL number of a given authorised person is used as </w:t>
      </w:r>
      <w:r w:rsidR="00D94C36"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login.</w:t>
      </w:r>
    </w:p>
    <w:p w14:paraId="1CC0B3AE" w14:textId="77777777"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Persons authorised by Danish, Lithuanian, German and Swedish partners or partners from outside the Programme countries will use the e-mail address and password provided in the application for authorisation. The authorised persons must follow the regulations concerning security of the information processed in </w:t>
      </w:r>
      <w:r w:rsidRPr="00DA4E94">
        <w:rPr>
          <w:rFonts w:ascii="Open Sans" w:eastAsiaTheme="minorHAnsi" w:hAnsi="Open Sans" w:cstheme="minorBidi"/>
          <w:color w:val="auto"/>
          <w:sz w:val="24"/>
          <w:szCs w:val="22"/>
          <w:lang w:eastAsia="en-US"/>
        </w:rPr>
        <w:lastRenderedPageBreak/>
        <w:t>the SL2021 application and must work in the SL2021 system in line with the principles defined in the SL2021 Beneficiary Manual (this will be available on the Programme’s website).</w:t>
      </w:r>
    </w:p>
    <w:p w14:paraId="1D7B8594" w14:textId="77777777" w:rsidR="00F70AD5" w:rsidRPr="000A49FB" w:rsidRDefault="00F70AD5" w:rsidP="003C58C0">
      <w:pPr>
        <w:pStyle w:val="BodyText"/>
        <w:spacing w:line="360" w:lineRule="auto"/>
        <w:rPr>
          <w:rFonts w:eastAsia="Open Sans"/>
        </w:rPr>
      </w:pPr>
    </w:p>
    <w:p w14:paraId="27B9EE95" w14:textId="77777777" w:rsidR="0013230F" w:rsidRPr="00DA4E94" w:rsidRDefault="0013230F"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Handling of errors and notifications</w:t>
      </w:r>
    </w:p>
    <w:p w14:paraId="41A5A259" w14:textId="31A0BA61" w:rsidR="009913AA" w:rsidRPr="00DA4E94" w:rsidRDefault="00B7310E"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To</w:t>
      </w:r>
      <w:r w:rsidR="0013230F" w:rsidRPr="00DA4E94">
        <w:rPr>
          <w:rFonts w:ascii="Open Sans" w:eastAsiaTheme="minorHAnsi" w:hAnsi="Open Sans" w:cstheme="minorBidi"/>
          <w:color w:val="auto"/>
          <w:sz w:val="24"/>
          <w:szCs w:val="22"/>
          <w:lang w:eastAsia="en-US"/>
        </w:rPr>
        <w:t xml:space="preserve"> ensure the smooth functioning of the SL2021 application, partners must immediately notify the Joint Secretariat of any failure of the SL2021 application, in particular if it impacts the submission of progress reports to the First Level controller or the JS. In cases where partners detect unauthorised access to their data in the SL2021, they should notify the JS immediately. The project and the </w:t>
      </w:r>
      <w:r w:rsidR="008122ED" w:rsidRPr="00DA4E94">
        <w:rPr>
          <w:rFonts w:ascii="Open Sans" w:eastAsiaTheme="minorHAnsi" w:hAnsi="Open Sans" w:cstheme="minorBidi"/>
          <w:color w:val="auto"/>
          <w:sz w:val="24"/>
          <w:szCs w:val="22"/>
          <w:lang w:eastAsia="en-US"/>
        </w:rPr>
        <w:t>lead partners</w:t>
      </w:r>
      <w:r w:rsidR="0013230F" w:rsidRPr="00DA4E94">
        <w:rPr>
          <w:rFonts w:ascii="Open Sans" w:eastAsiaTheme="minorHAnsi" w:hAnsi="Open Sans" w:cstheme="minorBidi"/>
          <w:color w:val="auto"/>
          <w:sz w:val="24"/>
          <w:szCs w:val="22"/>
          <w:lang w:eastAsia="en-US"/>
        </w:rPr>
        <w:t xml:space="preserve"> will be informed by the JS about the reported and resolved issues of the SL2021 application. Also, </w:t>
      </w:r>
      <w:r w:rsidR="004261DF" w:rsidRPr="00DA4E94">
        <w:rPr>
          <w:rFonts w:ascii="Open Sans" w:eastAsiaTheme="minorHAnsi" w:hAnsi="Open Sans" w:cstheme="minorBidi"/>
          <w:color w:val="auto"/>
          <w:sz w:val="24"/>
          <w:szCs w:val="22"/>
          <w:lang w:eastAsia="en-US"/>
        </w:rPr>
        <w:t>for</w:t>
      </w:r>
      <w:r w:rsidR="0013230F" w:rsidRPr="00DA4E94">
        <w:rPr>
          <w:rFonts w:ascii="Open Sans" w:eastAsiaTheme="minorHAnsi" w:hAnsi="Open Sans" w:cstheme="minorBidi"/>
          <w:color w:val="auto"/>
          <w:sz w:val="24"/>
          <w:szCs w:val="22"/>
          <w:lang w:eastAsia="en-US"/>
        </w:rPr>
        <w:t xml:space="preserve"> any unauthorised access to partners’ data in the system, respective partners will be notified. </w:t>
      </w:r>
    </w:p>
    <w:p w14:paraId="0A51F9B1" w14:textId="7BEA75DB" w:rsidR="009913AA" w:rsidRPr="000A49FB" w:rsidRDefault="001A7C11" w:rsidP="003C58C0">
      <w:pPr>
        <w:pStyle w:val="Heading3"/>
        <w:spacing w:line="360" w:lineRule="auto"/>
      </w:pPr>
      <w:bookmarkStart w:id="176" w:name="_Toc147242472"/>
      <w:r w:rsidRPr="000A49FB">
        <w:t>5</w:t>
      </w:r>
      <w:r w:rsidR="009913AA" w:rsidRPr="000A49FB">
        <w:t>.2 Mid-term project review</w:t>
      </w:r>
      <w:bookmarkEnd w:id="176"/>
    </w:p>
    <w:p w14:paraId="05E4A81D" w14:textId="6B4CF108"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Programme will require each project to go through a mid-term review. The review serves as a tool to monitor and assist the partnerships in the implementation of their project. Carried out by the Programme, the mid-term review will be organised in the form of a meeting between the project and the JS. The review meeting </w:t>
      </w:r>
      <w:r w:rsidR="005C70B7" w:rsidRPr="00DA4E94">
        <w:rPr>
          <w:rFonts w:ascii="Open Sans" w:eastAsiaTheme="minorHAnsi" w:hAnsi="Open Sans" w:cstheme="minorBidi"/>
          <w:color w:val="auto"/>
          <w:sz w:val="24"/>
          <w:szCs w:val="22"/>
          <w:lang w:eastAsia="en-US"/>
        </w:rPr>
        <w:t>must</w:t>
      </w:r>
      <w:r w:rsidRPr="00DA4E94">
        <w:rPr>
          <w:rFonts w:ascii="Open Sans" w:eastAsiaTheme="minorHAnsi" w:hAnsi="Open Sans" w:cstheme="minorBidi"/>
          <w:color w:val="auto"/>
          <w:sz w:val="24"/>
          <w:szCs w:val="22"/>
          <w:lang w:eastAsia="en-US"/>
        </w:rPr>
        <w:t xml:space="preserve"> be organised by the project in close cooperation with the responsible Project Officer at the JS. Consequently, the date and practical arrangements should be agreed beforehand between the project and the JS. The JS will notify the national/regional Contact Point where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of the project is located about the mid-term review meeting. The Contact Point may also take part in the meeting. </w:t>
      </w:r>
    </w:p>
    <w:p w14:paraId="3012057A" w14:textId="77777777"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mid-term review will focus on the following aspects: </w:t>
      </w:r>
    </w:p>
    <w:p w14:paraId="3E68E1DA" w14:textId="12EE7754" w:rsidR="009913AA" w:rsidRPr="000A49FB" w:rsidRDefault="00783CD9" w:rsidP="003C58C0">
      <w:pPr>
        <w:pStyle w:val="ListParagraph"/>
        <w:numPr>
          <w:ilvl w:val="0"/>
          <w:numId w:val="22"/>
        </w:numPr>
        <w:spacing w:line="360" w:lineRule="auto"/>
      </w:pPr>
      <w:r>
        <w:t>C</w:t>
      </w:r>
      <w:r w:rsidR="009913AA" w:rsidRPr="000A49FB">
        <w:t>ontent-related analysis and financial progress of the project</w:t>
      </w:r>
      <w:r>
        <w:t>.</w:t>
      </w:r>
    </w:p>
    <w:p w14:paraId="58AD3B71" w14:textId="616493FA" w:rsidR="009913AA" w:rsidRPr="000A49FB" w:rsidRDefault="00783CD9" w:rsidP="003C58C0">
      <w:pPr>
        <w:pStyle w:val="ListParagraph"/>
        <w:numPr>
          <w:ilvl w:val="0"/>
          <w:numId w:val="22"/>
        </w:numPr>
        <w:spacing w:line="360" w:lineRule="auto"/>
      </w:pPr>
      <w:r>
        <w:lastRenderedPageBreak/>
        <w:t>J</w:t>
      </w:r>
      <w:r w:rsidR="009913AA" w:rsidRPr="000A49FB">
        <w:t>oint reflection on management issues</w:t>
      </w:r>
      <w:r>
        <w:t>.</w:t>
      </w:r>
    </w:p>
    <w:p w14:paraId="08CE3053" w14:textId="5E02ED1D" w:rsidR="009913AA" w:rsidRPr="000A49FB" w:rsidRDefault="00783CD9" w:rsidP="003C58C0">
      <w:pPr>
        <w:pStyle w:val="ListParagraph"/>
        <w:numPr>
          <w:ilvl w:val="0"/>
          <w:numId w:val="22"/>
        </w:numPr>
        <w:spacing w:line="360" w:lineRule="auto"/>
      </w:pPr>
      <w:r>
        <w:t>R</w:t>
      </w:r>
      <w:r w:rsidR="009913AA" w:rsidRPr="000A49FB">
        <w:t>ealistic forecast and recommendations for the remaining project period</w:t>
      </w:r>
      <w:r>
        <w:t>.</w:t>
      </w:r>
    </w:p>
    <w:p w14:paraId="6920A48F" w14:textId="29F40209" w:rsidR="009913AA" w:rsidRPr="000A49FB" w:rsidRDefault="00783CD9" w:rsidP="003C58C0">
      <w:pPr>
        <w:pStyle w:val="ListParagraph"/>
        <w:numPr>
          <w:ilvl w:val="0"/>
          <w:numId w:val="22"/>
        </w:numPr>
        <w:spacing w:line="360" w:lineRule="auto"/>
      </w:pPr>
      <w:r>
        <w:t>I</w:t>
      </w:r>
      <w:r w:rsidR="009913AA" w:rsidRPr="000A49FB">
        <w:t xml:space="preserve">f applicable, identification of deviations and delays, as well as necessary project changes. </w:t>
      </w:r>
    </w:p>
    <w:p w14:paraId="2455FBEF" w14:textId="1BF19949"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bookmarkStart w:id="177" w:name="_Hlk114488887"/>
      <w:r w:rsidRPr="00DA4E94">
        <w:rPr>
          <w:rFonts w:ascii="Open Sans" w:eastAsiaTheme="minorHAnsi" w:hAnsi="Open Sans" w:cstheme="minorBidi"/>
          <w:color w:val="auto"/>
          <w:sz w:val="24"/>
          <w:szCs w:val="22"/>
          <w:lang w:eastAsia="en-US"/>
        </w:rPr>
        <w:t>The Monitoring Committee of the Programme will be informed about the conclusions from the mid-term project reviews</w:t>
      </w:r>
      <w:r w:rsidR="00B93A90" w:rsidRPr="00DA4E94">
        <w:rPr>
          <w:rFonts w:ascii="Open Sans" w:eastAsiaTheme="minorHAnsi" w:hAnsi="Open Sans" w:cstheme="minorBidi"/>
          <w:color w:val="auto"/>
          <w:sz w:val="24"/>
          <w:szCs w:val="22"/>
          <w:lang w:eastAsia="en-US"/>
        </w:rPr>
        <w:t xml:space="preserve"> during the meetings of the MC</w:t>
      </w:r>
      <w:r w:rsidRPr="00DA4E94">
        <w:rPr>
          <w:rFonts w:ascii="Open Sans" w:eastAsiaTheme="minorHAnsi" w:hAnsi="Open Sans" w:cstheme="minorBidi"/>
          <w:color w:val="auto"/>
          <w:sz w:val="24"/>
          <w:szCs w:val="22"/>
          <w:lang w:eastAsia="en-US"/>
        </w:rPr>
        <w:t>.</w:t>
      </w:r>
    </w:p>
    <w:p w14:paraId="11AECE94" w14:textId="74352CA3" w:rsidR="009913AA" w:rsidRPr="000A49FB" w:rsidRDefault="001A7C11" w:rsidP="003C58C0">
      <w:pPr>
        <w:pStyle w:val="Heading3"/>
        <w:spacing w:line="360" w:lineRule="auto"/>
      </w:pPr>
      <w:bookmarkStart w:id="178" w:name="_Toc147242473"/>
      <w:bookmarkEnd w:id="177"/>
      <w:r w:rsidRPr="000A49FB">
        <w:t>5</w:t>
      </w:r>
      <w:r w:rsidR="009913AA" w:rsidRPr="000A49FB">
        <w:t>.3 Accounting of project expenditure, documents, and their storage</w:t>
      </w:r>
      <w:bookmarkEnd w:id="178"/>
    </w:p>
    <w:p w14:paraId="7A37B391" w14:textId="7C422DF5"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One of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’s responsibilities is to ensure that expenditures presented by project partners for reimbursement have been verified by the First Level controllers. At the same time, all project partners must ensure proper accounting of their project expenditure (if spent as direct costs, not costs reimbursed by the use of simplified methods of cost reimbursement), keep their project documentation and ensure that </w:t>
      </w:r>
      <w:r w:rsidR="009C173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 xml:space="preserve">necessary documents are available at the partner premises for audit purposes (the verification of expenditures by the FLC before the submission of the report to the JS, audit(s) of SLC and audits/controls performed by other bodies). </w:t>
      </w:r>
    </w:p>
    <w:p w14:paraId="45F0BD88" w14:textId="69244E88"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partners </w:t>
      </w:r>
      <w:r w:rsidR="00A47A87" w:rsidRPr="00DA4E94">
        <w:rPr>
          <w:rFonts w:ascii="Open Sans" w:eastAsiaTheme="minorHAnsi" w:hAnsi="Open Sans" w:cstheme="minorBidi"/>
          <w:color w:val="auto"/>
          <w:sz w:val="24"/>
          <w:szCs w:val="22"/>
          <w:lang w:eastAsia="en-US"/>
        </w:rPr>
        <w:t>must</w:t>
      </w:r>
      <w:r w:rsidRPr="00DA4E94">
        <w:rPr>
          <w:rFonts w:ascii="Open Sans" w:eastAsiaTheme="minorHAnsi" w:hAnsi="Open Sans" w:cstheme="minorBidi"/>
          <w:color w:val="auto"/>
          <w:sz w:val="24"/>
          <w:szCs w:val="22"/>
          <w:lang w:eastAsia="en-US"/>
        </w:rPr>
        <w:t xml:space="preserve"> ensure that the following information is available in their accounting system (if presented for reimbursement as direct costs):</w:t>
      </w:r>
    </w:p>
    <w:p w14:paraId="3FA3EDFC" w14:textId="2D7890DD" w:rsidR="009913AA" w:rsidRPr="000A49FB" w:rsidRDefault="00783CD9" w:rsidP="003C58C0">
      <w:pPr>
        <w:pStyle w:val="ListParagraph"/>
        <w:numPr>
          <w:ilvl w:val="0"/>
          <w:numId w:val="22"/>
        </w:numPr>
        <w:spacing w:line="360" w:lineRule="auto"/>
      </w:pPr>
      <w:r>
        <w:t>W</w:t>
      </w:r>
      <w:r w:rsidR="009913AA" w:rsidRPr="000A49FB">
        <w:t>ho paid an invoice/bill</w:t>
      </w:r>
      <w:r>
        <w:t>.</w:t>
      </w:r>
    </w:p>
    <w:p w14:paraId="0EEDC5C0" w14:textId="38B789F3" w:rsidR="009913AA" w:rsidRPr="000A49FB" w:rsidRDefault="00783CD9" w:rsidP="003C58C0">
      <w:pPr>
        <w:pStyle w:val="ListParagraph"/>
        <w:numPr>
          <w:ilvl w:val="0"/>
          <w:numId w:val="22"/>
        </w:numPr>
        <w:spacing w:line="360" w:lineRule="auto"/>
      </w:pPr>
      <w:r>
        <w:t>W</w:t>
      </w:r>
      <w:r w:rsidR="009913AA" w:rsidRPr="000A49FB">
        <w:t>hat the invoice/bill paid for</w:t>
      </w:r>
      <w:r>
        <w:t>.</w:t>
      </w:r>
    </w:p>
    <w:p w14:paraId="5F5FA330" w14:textId="0ACD3B65" w:rsidR="009913AA" w:rsidRPr="000A49FB" w:rsidRDefault="00783CD9" w:rsidP="003C58C0">
      <w:pPr>
        <w:pStyle w:val="ListParagraph"/>
        <w:numPr>
          <w:ilvl w:val="0"/>
          <w:numId w:val="22"/>
        </w:numPr>
        <w:spacing w:line="360" w:lineRule="auto"/>
      </w:pPr>
      <w:r>
        <w:t>W</w:t>
      </w:r>
      <w:r w:rsidR="009913AA" w:rsidRPr="000A49FB">
        <w:t>hen the invoice/bill was paid.</w:t>
      </w:r>
    </w:p>
    <w:p w14:paraId="73045D19" w14:textId="21CCE58F"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 partners should also store documents serving as a proof of staff</w:t>
      </w:r>
      <w:r w:rsidR="009C1735" w:rsidRPr="00DA4E94">
        <w:rPr>
          <w:rFonts w:ascii="Open Sans" w:eastAsiaTheme="minorHAnsi" w:hAnsi="Open Sans" w:cstheme="minorBidi"/>
          <w:color w:val="auto"/>
          <w:sz w:val="24"/>
          <w:szCs w:val="22"/>
          <w:lang w:eastAsia="en-US"/>
        </w:rPr>
        <w:t>-</w:t>
      </w:r>
      <w:r w:rsidRPr="00DA4E94">
        <w:rPr>
          <w:rFonts w:ascii="Open Sans" w:eastAsiaTheme="minorHAnsi" w:hAnsi="Open Sans" w:cstheme="minorBidi"/>
          <w:color w:val="auto"/>
          <w:sz w:val="24"/>
          <w:szCs w:val="22"/>
          <w:lang w:eastAsia="en-US"/>
        </w:rPr>
        <w:t>related costs, such as employment contracts and agreements with project volunteers, as well as documents that serve as pro</w:t>
      </w:r>
      <w:r w:rsidR="009C1735" w:rsidRPr="00DA4E94">
        <w:rPr>
          <w:rFonts w:ascii="Open Sans" w:eastAsiaTheme="minorHAnsi" w:hAnsi="Open Sans" w:cstheme="minorBidi"/>
          <w:color w:val="auto"/>
          <w:sz w:val="24"/>
          <w:szCs w:val="22"/>
          <w:lang w:eastAsia="en-US"/>
        </w:rPr>
        <w:t>of</w:t>
      </w:r>
      <w:r w:rsidRPr="00DA4E94">
        <w:rPr>
          <w:rFonts w:ascii="Open Sans" w:eastAsiaTheme="minorHAnsi" w:hAnsi="Open Sans" w:cstheme="minorBidi"/>
          <w:color w:val="auto"/>
          <w:sz w:val="24"/>
          <w:szCs w:val="22"/>
          <w:lang w:eastAsia="en-US"/>
        </w:rPr>
        <w:t xml:space="preserve"> of project results.</w:t>
      </w:r>
    </w:p>
    <w:p w14:paraId="0974812B" w14:textId="5CAD454A"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lastRenderedPageBreak/>
        <w:t xml:space="preserve">It is the responsibility of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and of all project partners to store project documents in a safe and proper manner during the period set forth in the subsidy contract. </w:t>
      </w:r>
    </w:p>
    <w:p w14:paraId="558C167A" w14:textId="50F54D65"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Where documents exist in electronic form only, the computer system, as well as </w:t>
      </w:r>
      <w:r w:rsidR="009C173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 xml:space="preserve">data carriers used by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project partners and the Programme bodies, will need to meet accepted security standards to ensure that the documents comply with national legal requirements and can be relied on for audit purposes. In particular, </w:t>
      </w:r>
      <w:r w:rsidR="009C1735" w:rsidRPr="00DA4E94">
        <w:rPr>
          <w:rFonts w:ascii="Open Sans" w:eastAsiaTheme="minorHAnsi" w:hAnsi="Open Sans" w:cstheme="minorBidi"/>
          <w:color w:val="auto"/>
          <w:sz w:val="24"/>
          <w:szCs w:val="22"/>
          <w:lang w:eastAsia="en-US"/>
        </w:rPr>
        <w:t xml:space="preserve">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/project partners will ensure that:</w:t>
      </w:r>
    </w:p>
    <w:p w14:paraId="7A472793" w14:textId="7AC8C2A9" w:rsidR="009913AA" w:rsidRPr="000A49FB" w:rsidRDefault="00783CD9" w:rsidP="003C58C0">
      <w:pPr>
        <w:pStyle w:val="ListParagraph"/>
        <w:numPr>
          <w:ilvl w:val="0"/>
          <w:numId w:val="22"/>
        </w:numPr>
        <w:spacing w:line="360" w:lineRule="auto"/>
      </w:pPr>
      <w:r>
        <w:t>D</w:t>
      </w:r>
      <w:r w:rsidR="009913AA" w:rsidRPr="000A49FB">
        <w:t xml:space="preserve">ocuments are stored on a data carrier </w:t>
      </w:r>
      <w:r w:rsidR="009C1735" w:rsidRPr="000A49FB">
        <w:t xml:space="preserve">that </w:t>
      </w:r>
      <w:r w:rsidR="009913AA" w:rsidRPr="000A49FB">
        <w:t>meets accepted security standards</w:t>
      </w:r>
      <w:r>
        <w:t>.</w:t>
      </w:r>
    </w:p>
    <w:p w14:paraId="16C629C4" w14:textId="02E0BFE4" w:rsidR="009913AA" w:rsidRPr="000A49FB" w:rsidRDefault="00783CD9" w:rsidP="003C58C0">
      <w:pPr>
        <w:pStyle w:val="ListParagraph"/>
        <w:numPr>
          <w:ilvl w:val="0"/>
          <w:numId w:val="22"/>
        </w:numPr>
        <w:spacing w:line="360" w:lineRule="auto"/>
      </w:pPr>
      <w:r>
        <w:t>T</w:t>
      </w:r>
      <w:r w:rsidR="009913AA" w:rsidRPr="000A49FB">
        <w:t xml:space="preserve">he data carriers are described in a way </w:t>
      </w:r>
      <w:r w:rsidR="009C1735" w:rsidRPr="000A49FB">
        <w:t xml:space="preserve">that </w:t>
      </w:r>
      <w:r w:rsidR="009913AA" w:rsidRPr="000A49FB">
        <w:t>allows easy identification of the documents</w:t>
      </w:r>
      <w:r>
        <w:t>.</w:t>
      </w:r>
    </w:p>
    <w:p w14:paraId="4B3D0551" w14:textId="64AA0C3B" w:rsidR="009913AA" w:rsidRPr="000A49FB" w:rsidRDefault="00783CD9" w:rsidP="003C58C0">
      <w:pPr>
        <w:pStyle w:val="ListParagraph"/>
        <w:numPr>
          <w:ilvl w:val="0"/>
          <w:numId w:val="22"/>
        </w:numPr>
        <w:spacing w:line="360" w:lineRule="auto"/>
      </w:pPr>
      <w:r>
        <w:t>A</w:t>
      </w:r>
      <w:r w:rsidR="009C1735" w:rsidRPr="000A49FB">
        <w:t xml:space="preserve">n </w:t>
      </w:r>
      <w:r w:rsidR="009913AA" w:rsidRPr="000A49FB">
        <w:t>audit trail is ensured and each item is easily identifiable for control and audit purposes.</w:t>
      </w:r>
    </w:p>
    <w:p w14:paraId="7F01C858" w14:textId="77777777" w:rsidR="009913AA" w:rsidRPr="00DA4E94" w:rsidRDefault="009913AA" w:rsidP="003C58C0">
      <w:pPr>
        <w:pStyle w:val="BULLETRECOVERED"/>
        <w:numPr>
          <w:ilvl w:val="0"/>
          <w:numId w:val="0"/>
        </w:numPr>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 list of the main documents that need to be retained:</w:t>
      </w:r>
    </w:p>
    <w:p w14:paraId="5A76500B" w14:textId="4DED796D" w:rsidR="00783CD9" w:rsidRDefault="00783CD9" w:rsidP="003C58C0">
      <w:pPr>
        <w:pStyle w:val="ListParagraph"/>
        <w:numPr>
          <w:ilvl w:val="0"/>
          <w:numId w:val="22"/>
        </w:numPr>
        <w:spacing w:line="360" w:lineRule="auto"/>
      </w:pPr>
      <w:r w:rsidRPr="00783CD9">
        <w:t>A</w:t>
      </w:r>
      <w:r w:rsidR="009913AA" w:rsidRPr="00783CD9">
        <w:t>pproved Application Form</w:t>
      </w:r>
      <w:r>
        <w:t>.</w:t>
      </w:r>
    </w:p>
    <w:p w14:paraId="148906FB" w14:textId="2A58342C" w:rsidR="009913AA" w:rsidRPr="00783CD9" w:rsidRDefault="009913AA" w:rsidP="003C58C0">
      <w:pPr>
        <w:pStyle w:val="ListParagraph"/>
        <w:numPr>
          <w:ilvl w:val="0"/>
          <w:numId w:val="22"/>
        </w:numPr>
        <w:spacing w:line="360" w:lineRule="auto"/>
      </w:pPr>
      <w:r w:rsidRPr="00783CD9">
        <w:t>Subsidy Contract, all Annexes and Registers of changes</w:t>
      </w:r>
      <w:r w:rsidR="00783CD9">
        <w:t>.</w:t>
      </w:r>
    </w:p>
    <w:p w14:paraId="67DD82C8" w14:textId="14D65334" w:rsidR="009913AA" w:rsidRPr="000A49FB" w:rsidRDefault="009913AA" w:rsidP="003C58C0">
      <w:pPr>
        <w:pStyle w:val="ListParagraph"/>
        <w:numPr>
          <w:ilvl w:val="0"/>
          <w:numId w:val="22"/>
        </w:numPr>
        <w:spacing w:line="360" w:lineRule="auto"/>
      </w:pPr>
      <w:r w:rsidRPr="000A49FB">
        <w:t>Partnership Agreements</w:t>
      </w:r>
      <w:r w:rsidR="00783CD9">
        <w:t>.</w:t>
      </w:r>
    </w:p>
    <w:p w14:paraId="37EF1AF5" w14:textId="7D42B5D9" w:rsidR="009913AA" w:rsidRPr="000A49FB" w:rsidRDefault="00783CD9" w:rsidP="003C58C0">
      <w:pPr>
        <w:pStyle w:val="ListParagraph"/>
        <w:numPr>
          <w:ilvl w:val="0"/>
          <w:numId w:val="22"/>
        </w:numPr>
        <w:spacing w:line="360" w:lineRule="auto"/>
      </w:pPr>
      <w:r>
        <w:t>P</w:t>
      </w:r>
      <w:r w:rsidR="009913AA" w:rsidRPr="000A49FB">
        <w:t>artner and project progress reports</w:t>
      </w:r>
      <w:r>
        <w:t>.</w:t>
      </w:r>
    </w:p>
    <w:p w14:paraId="6AE9FCD9" w14:textId="03473C5F" w:rsidR="009913AA" w:rsidRPr="000A49FB" w:rsidRDefault="00783CD9" w:rsidP="003C58C0">
      <w:pPr>
        <w:pStyle w:val="ListParagraph"/>
        <w:numPr>
          <w:ilvl w:val="0"/>
          <w:numId w:val="22"/>
        </w:numPr>
        <w:spacing w:line="360" w:lineRule="auto"/>
      </w:pPr>
      <w:r>
        <w:t>A</w:t>
      </w:r>
      <w:r w:rsidR="009913AA" w:rsidRPr="000A49FB">
        <w:t>ll correspondence concerning the above</w:t>
      </w:r>
      <w:r w:rsidR="00B8208C" w:rsidRPr="000A49FB">
        <w:t>-</w:t>
      </w:r>
      <w:r w:rsidR="009913AA" w:rsidRPr="000A49FB">
        <w:t>mentioned items</w:t>
      </w:r>
      <w:r>
        <w:t>.</w:t>
      </w:r>
    </w:p>
    <w:p w14:paraId="2D95F47D" w14:textId="5EE3C9C6" w:rsidR="009913AA" w:rsidRPr="000A49FB" w:rsidRDefault="00783CD9" w:rsidP="003C58C0">
      <w:pPr>
        <w:pStyle w:val="ListParagraph"/>
        <w:numPr>
          <w:ilvl w:val="0"/>
          <w:numId w:val="22"/>
        </w:numPr>
        <w:spacing w:line="360" w:lineRule="auto"/>
      </w:pPr>
      <w:r>
        <w:t>F</w:t>
      </w:r>
      <w:r w:rsidR="009913AA" w:rsidRPr="000A49FB">
        <w:t>inancial documents supporting the direct costs reporte</w:t>
      </w:r>
      <w:r>
        <w:t>d.</w:t>
      </w:r>
    </w:p>
    <w:p w14:paraId="6CD1295D" w14:textId="63C092C9" w:rsidR="009913AA" w:rsidRPr="000A49FB" w:rsidRDefault="00783CD9" w:rsidP="003C58C0">
      <w:pPr>
        <w:pStyle w:val="ListParagraph"/>
        <w:numPr>
          <w:ilvl w:val="0"/>
          <w:numId w:val="22"/>
        </w:numPr>
        <w:spacing w:line="360" w:lineRule="auto"/>
      </w:pPr>
      <w:r>
        <w:t>D</w:t>
      </w:r>
      <w:r w:rsidR="009913AA" w:rsidRPr="000A49FB">
        <w:t>ocuments confirming implementing activities linked directly to simplified cost options applied in the projects’ budgets (i.e.</w:t>
      </w:r>
      <w:r w:rsidR="00B8208C" w:rsidRPr="000A49FB">
        <w:t>,</w:t>
      </w:r>
      <w:r w:rsidR="009913AA" w:rsidRPr="000A49FB">
        <w:t xml:space="preserve"> lump sums)</w:t>
      </w:r>
      <w:r>
        <w:t>.</w:t>
      </w:r>
    </w:p>
    <w:p w14:paraId="2F2CB957" w14:textId="6DCC2267" w:rsidR="009913AA" w:rsidRPr="000A49FB" w:rsidRDefault="00783CD9" w:rsidP="003C58C0">
      <w:pPr>
        <w:pStyle w:val="ListParagraph"/>
        <w:numPr>
          <w:ilvl w:val="0"/>
          <w:numId w:val="22"/>
        </w:numPr>
        <w:spacing w:line="360" w:lineRule="auto"/>
      </w:pPr>
      <w:r>
        <w:t>D</w:t>
      </w:r>
      <w:r w:rsidR="009913AA" w:rsidRPr="000A49FB">
        <w:t xml:space="preserve">ocuments relating to </w:t>
      </w:r>
      <w:r w:rsidR="0000618F" w:rsidRPr="000A49FB">
        <w:t>S</w:t>
      </w:r>
      <w:r w:rsidR="009913AA" w:rsidRPr="000A49FB">
        <w:t>tate aid/de minimis aid</w:t>
      </w:r>
      <w:r>
        <w:t>.</w:t>
      </w:r>
    </w:p>
    <w:p w14:paraId="61CF0F74" w14:textId="4B50AD26" w:rsidR="009913AA" w:rsidRPr="000A49FB" w:rsidRDefault="00783CD9" w:rsidP="003C58C0">
      <w:pPr>
        <w:pStyle w:val="ListParagraph"/>
        <w:numPr>
          <w:ilvl w:val="0"/>
          <w:numId w:val="22"/>
        </w:numPr>
        <w:spacing w:line="360" w:lineRule="auto"/>
      </w:pPr>
      <w:r>
        <w:t>P</w:t>
      </w:r>
      <w:r w:rsidR="009913AA" w:rsidRPr="000A49FB">
        <w:t xml:space="preserve">roofs of </w:t>
      </w:r>
      <w:r w:rsidR="00B8208C" w:rsidRPr="000A49FB">
        <w:t xml:space="preserve">delivery of </w:t>
      </w:r>
      <w:r w:rsidR="009913AA" w:rsidRPr="000A49FB">
        <w:t>results/outputs</w:t>
      </w:r>
      <w:r>
        <w:t>.</w:t>
      </w:r>
    </w:p>
    <w:p w14:paraId="5F90AE9A" w14:textId="710F5BA6" w:rsidR="009913AA" w:rsidRPr="000A49FB" w:rsidRDefault="00783CD9" w:rsidP="003C58C0">
      <w:pPr>
        <w:pStyle w:val="ListParagraph"/>
        <w:numPr>
          <w:ilvl w:val="0"/>
          <w:numId w:val="22"/>
        </w:numPr>
        <w:spacing w:line="360" w:lineRule="auto"/>
      </w:pPr>
      <w:r>
        <w:t>D</w:t>
      </w:r>
      <w:r w:rsidR="009913AA" w:rsidRPr="000A49FB">
        <w:t>ocuments concerning information and publicity</w:t>
      </w:r>
      <w:r>
        <w:t>.</w:t>
      </w:r>
    </w:p>
    <w:p w14:paraId="4C874580" w14:textId="3FAE9BC7" w:rsidR="009913AA" w:rsidRPr="000A49FB" w:rsidRDefault="00783CD9" w:rsidP="003C58C0">
      <w:pPr>
        <w:pStyle w:val="ListParagraph"/>
        <w:numPr>
          <w:ilvl w:val="0"/>
          <w:numId w:val="22"/>
        </w:numPr>
        <w:spacing w:line="360" w:lineRule="auto"/>
      </w:pPr>
      <w:r>
        <w:lastRenderedPageBreak/>
        <w:t>P</w:t>
      </w:r>
      <w:r w:rsidR="009913AA" w:rsidRPr="000A49FB">
        <w:t>artner controllers’ approbations and a track of costs verifications (correspondence with the FLC)</w:t>
      </w:r>
      <w:r>
        <w:t>.</w:t>
      </w:r>
    </w:p>
    <w:p w14:paraId="7C822D7E" w14:textId="50D67258" w:rsidR="009913AA" w:rsidRPr="000A49FB" w:rsidRDefault="00783CD9" w:rsidP="003C58C0">
      <w:pPr>
        <w:pStyle w:val="ListParagraph"/>
        <w:numPr>
          <w:ilvl w:val="0"/>
          <w:numId w:val="22"/>
        </w:numPr>
        <w:spacing w:line="360" w:lineRule="auto"/>
      </w:pPr>
      <w:r>
        <w:t>B</w:t>
      </w:r>
      <w:r w:rsidR="009913AA" w:rsidRPr="000A49FB">
        <w:t xml:space="preserve">ank account statements proving the transfer of the EU funds to the </w:t>
      </w:r>
      <w:r w:rsidR="008122ED" w:rsidRPr="000A49FB">
        <w:t>l</w:t>
      </w:r>
      <w:r w:rsidR="00D45EFF" w:rsidRPr="000A49FB">
        <w:t>ead partner</w:t>
      </w:r>
      <w:r w:rsidR="009913AA" w:rsidRPr="000A49FB">
        <w:t>’s account and bank statements proving the transfer of funds to</w:t>
      </w:r>
      <w:r w:rsidR="00B8208C" w:rsidRPr="000A49FB">
        <w:t xml:space="preserve"> the</w:t>
      </w:r>
      <w:r w:rsidR="009913AA" w:rsidRPr="000A49FB">
        <w:t xml:space="preserve"> project partners’ accounts.</w:t>
      </w:r>
    </w:p>
    <w:p w14:paraId="29182D7E" w14:textId="77998F3B" w:rsidR="009913AA" w:rsidRPr="00DA4E94" w:rsidRDefault="009913AA"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Financial documents supporting the direct costs reported in the partner (project) progress reports that </w:t>
      </w:r>
      <w:r w:rsidR="00A47A87" w:rsidRPr="00DA4E94">
        <w:rPr>
          <w:rFonts w:ascii="Open Sans" w:eastAsiaTheme="minorHAnsi" w:hAnsi="Open Sans" w:cstheme="minorBidi"/>
          <w:color w:val="auto"/>
          <w:sz w:val="24"/>
          <w:szCs w:val="22"/>
          <w:lang w:eastAsia="en-US"/>
        </w:rPr>
        <w:t xml:space="preserve">must </w:t>
      </w:r>
      <w:r w:rsidRPr="00DA4E94">
        <w:rPr>
          <w:rFonts w:ascii="Open Sans" w:eastAsiaTheme="minorHAnsi" w:hAnsi="Open Sans" w:cstheme="minorBidi"/>
          <w:color w:val="auto"/>
          <w:sz w:val="24"/>
          <w:szCs w:val="22"/>
          <w:lang w:eastAsia="en-US"/>
        </w:rPr>
        <w:t xml:space="preserve">also be retained include, among others: </w:t>
      </w:r>
    </w:p>
    <w:p w14:paraId="1F95F1D9" w14:textId="4DC4EC1A" w:rsidR="009913AA" w:rsidRPr="000A49FB" w:rsidRDefault="00783CD9" w:rsidP="003C58C0">
      <w:pPr>
        <w:pStyle w:val="ListParagraph"/>
        <w:numPr>
          <w:ilvl w:val="0"/>
          <w:numId w:val="22"/>
        </w:numPr>
        <w:spacing w:line="360" w:lineRule="auto"/>
      </w:pPr>
      <w:r>
        <w:t>L</w:t>
      </w:r>
      <w:r w:rsidR="009913AA" w:rsidRPr="000A49FB">
        <w:t>ist of declared expenditures by partners</w:t>
      </w:r>
      <w:r>
        <w:t>.</w:t>
      </w:r>
    </w:p>
    <w:p w14:paraId="566BD8B7" w14:textId="706C47B1" w:rsidR="009913AA" w:rsidRPr="000A49FB" w:rsidRDefault="00783CD9" w:rsidP="003C58C0">
      <w:pPr>
        <w:pStyle w:val="ListParagraph"/>
        <w:numPr>
          <w:ilvl w:val="0"/>
          <w:numId w:val="22"/>
        </w:numPr>
        <w:spacing w:line="360" w:lineRule="auto"/>
      </w:pPr>
      <w:r>
        <w:t>I</w:t>
      </w:r>
      <w:r w:rsidR="009913AA" w:rsidRPr="000A49FB">
        <w:t>nvoices/bills/other equivalent documents</w:t>
      </w:r>
      <w:r>
        <w:t>.</w:t>
      </w:r>
    </w:p>
    <w:p w14:paraId="0265B7E1" w14:textId="02F728D3" w:rsidR="009913AA" w:rsidRPr="000A49FB" w:rsidRDefault="00783CD9" w:rsidP="003C58C0">
      <w:pPr>
        <w:pStyle w:val="ListParagraph"/>
        <w:numPr>
          <w:ilvl w:val="0"/>
          <w:numId w:val="22"/>
        </w:numPr>
        <w:spacing w:line="360" w:lineRule="auto"/>
      </w:pPr>
      <w:r>
        <w:t>B</w:t>
      </w:r>
      <w:r w:rsidR="009913AA" w:rsidRPr="000A49FB">
        <w:t>ank account statements/proofs of payments for each invoice</w:t>
      </w:r>
      <w:r>
        <w:t>.</w:t>
      </w:r>
    </w:p>
    <w:p w14:paraId="134BEC96" w14:textId="5EE5D1F6" w:rsidR="009913AA" w:rsidRPr="000A49FB" w:rsidRDefault="00783CD9" w:rsidP="003C58C0">
      <w:pPr>
        <w:pStyle w:val="ListParagraph"/>
        <w:numPr>
          <w:ilvl w:val="0"/>
          <w:numId w:val="22"/>
        </w:numPr>
        <w:spacing w:line="360" w:lineRule="auto"/>
      </w:pPr>
      <w:r>
        <w:t>E</w:t>
      </w:r>
      <w:r w:rsidR="009913AA" w:rsidRPr="000A49FB">
        <w:t>mployment contracts and agreements with project volunteers, documents setting up a fixed percentage of time for part-time employees, etc.</w:t>
      </w:r>
    </w:p>
    <w:p w14:paraId="62BFF2A9" w14:textId="0494BD3B" w:rsidR="009913AA" w:rsidRPr="000A49FB" w:rsidRDefault="00783CD9" w:rsidP="003C58C0">
      <w:pPr>
        <w:pStyle w:val="ListParagraph"/>
        <w:numPr>
          <w:ilvl w:val="0"/>
          <w:numId w:val="22"/>
        </w:numPr>
        <w:spacing w:line="360" w:lineRule="auto"/>
      </w:pPr>
      <w:r>
        <w:t>D</w:t>
      </w:r>
      <w:r w:rsidR="009913AA" w:rsidRPr="000A49FB">
        <w:t>ocumentation concerning external expertise and service providers, purchase of equipment, infrastructure and works</w:t>
      </w:r>
      <w:r w:rsidR="00B8208C" w:rsidRPr="000A49FB">
        <w:t>,</w:t>
      </w:r>
      <w:r w:rsidR="009913AA" w:rsidRPr="000A49FB">
        <w:t xml:space="preserve"> if applicable (lists of subcontractors, contracts, etc.);</w:t>
      </w:r>
    </w:p>
    <w:p w14:paraId="78CD28C3" w14:textId="79FB2EB4" w:rsidR="009913AA" w:rsidRPr="000A49FB" w:rsidRDefault="00783CD9" w:rsidP="003C58C0">
      <w:pPr>
        <w:pStyle w:val="ListParagraph"/>
        <w:numPr>
          <w:ilvl w:val="0"/>
          <w:numId w:val="22"/>
        </w:numPr>
        <w:spacing w:line="360" w:lineRule="auto"/>
      </w:pPr>
      <w:r>
        <w:t>C</w:t>
      </w:r>
      <w:r w:rsidR="009913AA" w:rsidRPr="000A49FB">
        <w:t>alculation of in-kind contributions</w:t>
      </w:r>
      <w:r>
        <w:t>.</w:t>
      </w:r>
    </w:p>
    <w:p w14:paraId="71A1CC34" w14:textId="6D53F400" w:rsidR="009913AA" w:rsidRPr="000A49FB" w:rsidRDefault="00783CD9" w:rsidP="003C58C0">
      <w:pPr>
        <w:pStyle w:val="ListParagraph"/>
        <w:numPr>
          <w:ilvl w:val="0"/>
          <w:numId w:val="22"/>
        </w:numPr>
        <w:spacing w:line="360" w:lineRule="auto"/>
      </w:pPr>
      <w:r>
        <w:t>D</w:t>
      </w:r>
      <w:r w:rsidR="009913AA" w:rsidRPr="000A49FB">
        <w:t>ocuments concerning travel and accommodation of external experts only</w:t>
      </w:r>
      <w:r w:rsidR="00B8208C" w:rsidRPr="000A49FB">
        <w:t>,</w:t>
      </w:r>
      <w:r w:rsidR="009913AA" w:rsidRPr="000A49FB">
        <w:t xml:space="preserve"> such as boarding </w:t>
      </w:r>
      <w:r w:rsidR="00B8208C" w:rsidRPr="000A49FB">
        <w:t>passes</w:t>
      </w:r>
      <w:r w:rsidR="009913AA" w:rsidRPr="000A49FB">
        <w:t>, travel reports, invoices</w:t>
      </w:r>
      <w:r>
        <w:t>.</w:t>
      </w:r>
    </w:p>
    <w:p w14:paraId="6723E165" w14:textId="4E2F3CEB" w:rsidR="009913AA" w:rsidRPr="000A49FB" w:rsidRDefault="00783CD9" w:rsidP="003C58C0">
      <w:pPr>
        <w:pStyle w:val="ListParagraph"/>
        <w:numPr>
          <w:ilvl w:val="0"/>
          <w:numId w:val="22"/>
        </w:numPr>
        <w:spacing w:line="360" w:lineRule="auto"/>
      </w:pPr>
      <w:r>
        <w:t>D</w:t>
      </w:r>
      <w:r w:rsidR="009913AA" w:rsidRPr="000A49FB">
        <w:t>ocumentation related to public procurement rules such as terms of reference, offers, order forms, contracts, etc.</w:t>
      </w:r>
    </w:p>
    <w:p w14:paraId="668ADF4B" w14:textId="1B84F2AF" w:rsidR="009913AA" w:rsidRPr="000A49FB" w:rsidRDefault="00783CD9" w:rsidP="003C58C0">
      <w:pPr>
        <w:pStyle w:val="ListParagraph"/>
        <w:numPr>
          <w:ilvl w:val="0"/>
          <w:numId w:val="22"/>
        </w:numPr>
        <w:spacing w:line="360" w:lineRule="auto"/>
      </w:pPr>
      <w:r>
        <w:t>P</w:t>
      </w:r>
      <w:r w:rsidR="009913AA" w:rsidRPr="000A49FB">
        <w:t>roofs of delivery of services and goods (brochures, minutes of meetings, etc.)</w:t>
      </w:r>
    </w:p>
    <w:p w14:paraId="445F11D0" w14:textId="3AE6FAA3" w:rsidR="009913AA" w:rsidRDefault="00783CD9" w:rsidP="003C58C0">
      <w:pPr>
        <w:pStyle w:val="ListParagraph"/>
        <w:numPr>
          <w:ilvl w:val="0"/>
          <w:numId w:val="22"/>
        </w:numPr>
        <w:spacing w:line="360" w:lineRule="auto"/>
      </w:pPr>
      <w:r>
        <w:t>R</w:t>
      </w:r>
      <w:r w:rsidR="009913AA" w:rsidRPr="000A49FB">
        <w:t>ecord of purchased assets with back-up documentation.</w:t>
      </w:r>
    </w:p>
    <w:p w14:paraId="24964E25" w14:textId="77777777" w:rsidR="00067504" w:rsidRDefault="00067504" w:rsidP="003C58C0">
      <w:pPr>
        <w:pStyle w:val="ListParagraph"/>
        <w:spacing w:line="360" w:lineRule="auto"/>
      </w:pPr>
    </w:p>
    <w:p w14:paraId="4239E0F3" w14:textId="59FF3587" w:rsidR="003F6A61" w:rsidRPr="000A49FB" w:rsidRDefault="001A7C11" w:rsidP="003C58C0">
      <w:pPr>
        <w:pStyle w:val="Heading3"/>
        <w:spacing w:line="360" w:lineRule="auto"/>
      </w:pPr>
      <w:bookmarkStart w:id="179" w:name="_Toc147242474"/>
      <w:r w:rsidRPr="000A49FB">
        <w:lastRenderedPageBreak/>
        <w:t>5</w:t>
      </w:r>
      <w:r w:rsidR="003F6A61" w:rsidRPr="000A49FB">
        <w:t>.4 Reporting process</w:t>
      </w:r>
      <w:bookmarkEnd w:id="179"/>
    </w:p>
    <w:p w14:paraId="54A5C745" w14:textId="77777777"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Project implementation is divided into 2 cycles of 6-month reporting periods:</w:t>
      </w:r>
    </w:p>
    <w:p w14:paraId="76DA7589" w14:textId="77777777"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Cycle 1:</w:t>
      </w:r>
    </w:p>
    <w:p w14:paraId="3A369982" w14:textId="77777777" w:rsidR="00A664A6" w:rsidRPr="000A49FB" w:rsidRDefault="0013230F" w:rsidP="003C58C0">
      <w:pPr>
        <w:pStyle w:val="ListParagraph"/>
        <w:numPr>
          <w:ilvl w:val="0"/>
          <w:numId w:val="22"/>
        </w:numPr>
        <w:spacing w:line="360" w:lineRule="auto"/>
      </w:pPr>
      <w:r w:rsidRPr="000A49FB">
        <w:t>from 1 January to 30 June;</w:t>
      </w:r>
    </w:p>
    <w:p w14:paraId="5190F566" w14:textId="38AF5AAE" w:rsidR="0013230F" w:rsidRPr="000A49FB" w:rsidRDefault="0013230F" w:rsidP="003C58C0">
      <w:pPr>
        <w:pStyle w:val="ListParagraph"/>
        <w:numPr>
          <w:ilvl w:val="0"/>
          <w:numId w:val="22"/>
        </w:numPr>
        <w:spacing w:line="360" w:lineRule="auto"/>
      </w:pPr>
      <w:r w:rsidRPr="000A49FB">
        <w:t>from 1 July to 31 December.</w:t>
      </w:r>
    </w:p>
    <w:p w14:paraId="412325C4" w14:textId="77777777"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Cycle 2:</w:t>
      </w:r>
    </w:p>
    <w:p w14:paraId="68D36383" w14:textId="77777777" w:rsidR="00A664A6" w:rsidRPr="000A49FB" w:rsidRDefault="0013230F" w:rsidP="003C58C0">
      <w:pPr>
        <w:pStyle w:val="ListParagraph"/>
        <w:numPr>
          <w:ilvl w:val="0"/>
          <w:numId w:val="22"/>
        </w:numPr>
        <w:spacing w:line="360" w:lineRule="auto"/>
      </w:pPr>
      <w:r w:rsidRPr="000A49FB">
        <w:t>from 1 April to 30 September;</w:t>
      </w:r>
    </w:p>
    <w:p w14:paraId="71A723F0" w14:textId="219B95ED" w:rsidR="0013230F" w:rsidRPr="000A49FB" w:rsidRDefault="0013230F" w:rsidP="003C58C0">
      <w:pPr>
        <w:pStyle w:val="ListParagraph"/>
        <w:numPr>
          <w:ilvl w:val="0"/>
          <w:numId w:val="22"/>
        </w:numPr>
        <w:spacing w:line="360" w:lineRule="auto"/>
      </w:pPr>
      <w:r w:rsidRPr="000A49FB">
        <w:t xml:space="preserve">from 1 October to 31 March. </w:t>
      </w:r>
    </w:p>
    <w:p w14:paraId="341AAC4B" w14:textId="219002D7"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Reporting cycles will be applied in rolling order (1st Call</w:t>
      </w:r>
      <w:r w:rsidR="00C32F77" w:rsidRPr="00DA4E94">
        <w:rPr>
          <w:rFonts w:ascii="Open Sans" w:eastAsiaTheme="minorHAnsi" w:hAnsi="Open Sans" w:cstheme="minorBidi"/>
          <w:color w:val="auto"/>
          <w:sz w:val="24"/>
          <w:szCs w:val="22"/>
          <w:lang w:eastAsia="en-US"/>
        </w:rPr>
        <w:t xml:space="preserve"> – </w:t>
      </w:r>
      <w:r w:rsidRPr="00DA4E94">
        <w:rPr>
          <w:rFonts w:ascii="Open Sans" w:eastAsiaTheme="minorHAnsi" w:hAnsi="Open Sans" w:cstheme="minorBidi"/>
          <w:color w:val="auto"/>
          <w:sz w:val="24"/>
          <w:szCs w:val="22"/>
          <w:lang w:eastAsia="en-US"/>
        </w:rPr>
        <w:t>Cycle 2; 2nd Call</w:t>
      </w:r>
      <w:r w:rsidR="00C32F77" w:rsidRPr="00DA4E94">
        <w:rPr>
          <w:rFonts w:ascii="Open Sans" w:eastAsiaTheme="minorHAnsi" w:hAnsi="Open Sans" w:cstheme="minorBidi"/>
          <w:color w:val="auto"/>
          <w:sz w:val="24"/>
          <w:szCs w:val="22"/>
          <w:lang w:eastAsia="en-US"/>
        </w:rPr>
        <w:t xml:space="preserve"> – </w:t>
      </w:r>
      <w:r w:rsidRPr="00DA4E94">
        <w:rPr>
          <w:rFonts w:ascii="Open Sans" w:eastAsiaTheme="minorHAnsi" w:hAnsi="Open Sans" w:cstheme="minorBidi"/>
          <w:color w:val="auto"/>
          <w:sz w:val="24"/>
          <w:szCs w:val="22"/>
          <w:lang w:eastAsia="en-US"/>
        </w:rPr>
        <w:t>Cycle 1; 3rd Call</w:t>
      </w:r>
      <w:r w:rsidR="00C32F77" w:rsidRPr="00DA4E94">
        <w:rPr>
          <w:rFonts w:ascii="Open Sans" w:eastAsiaTheme="minorHAnsi" w:hAnsi="Open Sans" w:cstheme="minorBidi"/>
          <w:color w:val="auto"/>
          <w:sz w:val="24"/>
          <w:szCs w:val="22"/>
          <w:lang w:eastAsia="en-US"/>
        </w:rPr>
        <w:t xml:space="preserve"> – </w:t>
      </w:r>
      <w:r w:rsidRPr="00DA4E94">
        <w:rPr>
          <w:rFonts w:ascii="Open Sans" w:eastAsiaTheme="minorHAnsi" w:hAnsi="Open Sans" w:cstheme="minorBidi"/>
          <w:color w:val="auto"/>
          <w:sz w:val="24"/>
          <w:szCs w:val="22"/>
          <w:lang w:eastAsia="en-US"/>
        </w:rPr>
        <w:t>Cycle 2; etc.).</w:t>
      </w:r>
    </w:p>
    <w:p w14:paraId="7E5087B1" w14:textId="77777777" w:rsidR="0013230F" w:rsidRPr="00DA4E94" w:rsidRDefault="0013230F"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There may be some exceptions from the rule mentioned above:</w:t>
      </w:r>
    </w:p>
    <w:p w14:paraId="7948AF66" w14:textId="6677712C" w:rsidR="00A664A6" w:rsidRPr="000A49FB" w:rsidRDefault="0033265D" w:rsidP="003C58C0">
      <w:pPr>
        <w:pStyle w:val="ListParagraph"/>
        <w:numPr>
          <w:ilvl w:val="0"/>
          <w:numId w:val="22"/>
        </w:numPr>
        <w:spacing w:line="360" w:lineRule="auto"/>
      </w:pPr>
      <w:r>
        <w:t>P</w:t>
      </w:r>
      <w:r w:rsidR="0013230F" w:rsidRPr="000A49FB">
        <w:t xml:space="preserve">roject may submit </w:t>
      </w:r>
      <w:r w:rsidR="00264C63" w:rsidRPr="000A49FB">
        <w:t xml:space="preserve">a </w:t>
      </w:r>
      <w:r w:rsidR="0013230F" w:rsidRPr="000A49FB">
        <w:t>so-called 0-report containing only preparation costs in accordance with the lump sum indicated in the approved Application Form. The reporting may be done starting from the date following the date of signing of the Subsidy Contract, within 3 months</w:t>
      </w:r>
      <w:r>
        <w:t>.</w:t>
      </w:r>
    </w:p>
    <w:p w14:paraId="2D96DE44" w14:textId="37831021" w:rsidR="00A664A6" w:rsidRPr="000A49FB" w:rsidRDefault="0033265D" w:rsidP="003C58C0">
      <w:pPr>
        <w:pStyle w:val="ListParagraph"/>
        <w:numPr>
          <w:ilvl w:val="0"/>
          <w:numId w:val="22"/>
        </w:numPr>
        <w:spacing w:line="360" w:lineRule="auto"/>
      </w:pPr>
      <w:r>
        <w:t>I</w:t>
      </w:r>
      <w:r w:rsidR="0013230F" w:rsidRPr="000A49FB">
        <w:t>n justified cases, especially if the Programme faces the risk of de-commitment, the Joint Secretariat may request</w:t>
      </w:r>
      <w:r w:rsidR="00264C63" w:rsidRPr="000A49FB">
        <w:t xml:space="preserve"> the</w:t>
      </w:r>
      <w:r w:rsidR="0013230F" w:rsidRPr="000A49FB">
        <w:t xml:space="preserve"> </w:t>
      </w:r>
      <w:r w:rsidR="008122ED" w:rsidRPr="000A49FB">
        <w:t>l</w:t>
      </w:r>
      <w:r w:rsidR="00D45EFF" w:rsidRPr="000A49FB">
        <w:t>ead partner</w:t>
      </w:r>
      <w:r w:rsidR="0013230F" w:rsidRPr="000A49FB">
        <w:t xml:space="preserve"> to submit an additional project progress report, covering </w:t>
      </w:r>
      <w:r w:rsidR="009F1A86" w:rsidRPr="000A49FB">
        <w:t xml:space="preserve">a </w:t>
      </w:r>
      <w:r w:rsidR="0013230F" w:rsidRPr="000A49FB">
        <w:t xml:space="preserve">reporting period </w:t>
      </w:r>
      <w:r w:rsidR="009F1A86" w:rsidRPr="000A49FB">
        <w:t xml:space="preserve">that </w:t>
      </w:r>
      <w:r w:rsidR="0013230F" w:rsidRPr="000A49FB">
        <w:t xml:space="preserve">is different from the standard reporting period. In this case, the </w:t>
      </w:r>
      <w:r w:rsidR="008122ED" w:rsidRPr="000A49FB">
        <w:t>l</w:t>
      </w:r>
      <w:r w:rsidR="00D45EFF" w:rsidRPr="000A49FB">
        <w:t>ead partner</w:t>
      </w:r>
      <w:r w:rsidR="0013230F" w:rsidRPr="000A49FB">
        <w:t xml:space="preserve"> shall submit a project progress report under the conditions set by the </w:t>
      </w:r>
      <w:r w:rsidR="00A664A6" w:rsidRPr="000A49FB">
        <w:t>JS</w:t>
      </w:r>
      <w:r>
        <w:t>.</w:t>
      </w:r>
    </w:p>
    <w:p w14:paraId="0E26FB98" w14:textId="02811FA3" w:rsidR="000A49FB" w:rsidRPr="00401661" w:rsidRDefault="0033265D" w:rsidP="003C58C0">
      <w:pPr>
        <w:pStyle w:val="ListParagraph"/>
        <w:numPr>
          <w:ilvl w:val="0"/>
          <w:numId w:val="22"/>
        </w:numPr>
        <w:spacing w:line="360" w:lineRule="auto"/>
      </w:pPr>
      <w:r>
        <w:t>I</w:t>
      </w:r>
      <w:r w:rsidR="0013230F" w:rsidRPr="000A49FB">
        <w:t xml:space="preserve">n justified cases related to the most efficient implementation of the project, the </w:t>
      </w:r>
      <w:r w:rsidR="008122ED" w:rsidRPr="000A49FB">
        <w:t>l</w:t>
      </w:r>
      <w:r w:rsidR="00D45EFF" w:rsidRPr="000A49FB">
        <w:t>ead partner</w:t>
      </w:r>
      <w:r w:rsidR="0013230F" w:rsidRPr="000A49FB">
        <w:t xml:space="preserve"> may ask the </w:t>
      </w:r>
      <w:r w:rsidR="00A664A6" w:rsidRPr="000A49FB">
        <w:t>JS</w:t>
      </w:r>
      <w:r w:rsidR="0013230F" w:rsidRPr="000A49FB">
        <w:t xml:space="preserve"> for the opportunity to submit a project progress report covering </w:t>
      </w:r>
      <w:r w:rsidR="009F1A86" w:rsidRPr="000A49FB">
        <w:t xml:space="preserve">a period that is </w:t>
      </w:r>
      <w:r w:rsidR="0013230F" w:rsidRPr="000A49FB">
        <w:t xml:space="preserve">different </w:t>
      </w:r>
      <w:r w:rsidR="009F1A86" w:rsidRPr="000A49FB">
        <w:t xml:space="preserve">from </w:t>
      </w:r>
      <w:r w:rsidR="0013230F" w:rsidRPr="000A49FB">
        <w:t>the standard reporting period.</w:t>
      </w:r>
    </w:p>
    <w:p w14:paraId="181B525F" w14:textId="77777777" w:rsidR="00931319" w:rsidRPr="00DA4E94" w:rsidRDefault="00931319"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 xml:space="preserve">Reporting of the project progress </w:t>
      </w:r>
    </w:p>
    <w:p w14:paraId="4B24F49E" w14:textId="3BAD957F" w:rsidR="0033265D" w:rsidRPr="00DA4E94" w:rsidRDefault="0093131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lastRenderedPageBreak/>
        <w:t xml:space="preserve">The partner progress report </w:t>
      </w:r>
      <w:r w:rsidR="005C70B7" w:rsidRPr="00DA4E94">
        <w:rPr>
          <w:rFonts w:ascii="Open Sans" w:eastAsiaTheme="minorHAnsi" w:hAnsi="Open Sans" w:cstheme="minorBidi"/>
          <w:color w:val="auto"/>
          <w:sz w:val="24"/>
          <w:szCs w:val="22"/>
          <w:lang w:eastAsia="en-US"/>
        </w:rPr>
        <w:t>must</w:t>
      </w:r>
      <w:r w:rsidRPr="00DA4E94">
        <w:rPr>
          <w:rFonts w:ascii="Open Sans" w:eastAsiaTheme="minorHAnsi" w:hAnsi="Open Sans" w:cstheme="minorBidi"/>
          <w:color w:val="auto"/>
          <w:sz w:val="24"/>
          <w:szCs w:val="22"/>
          <w:lang w:eastAsia="en-US"/>
        </w:rPr>
        <w:t xml:space="preserve"> be produced separately by each project partner (including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The report needs to be submitted via SL2021 together, if required, with the financial documents (scans) to the partner First Level controllers for verification. Afterwards,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prepares a project progress report for the purpose of summarising activities and expenditures at the project level (see </w:t>
      </w:r>
      <w:r w:rsidR="00A7294C" w:rsidRPr="00DA4E94">
        <w:rPr>
          <w:rFonts w:ascii="Open Sans" w:eastAsiaTheme="minorHAnsi" w:hAnsi="Open Sans" w:cstheme="minorBidi"/>
          <w:color w:val="auto"/>
          <w:sz w:val="24"/>
          <w:szCs w:val="22"/>
          <w:lang w:eastAsia="en-US"/>
        </w:rPr>
        <w:t xml:space="preserve">Chapter VI, </w:t>
      </w:r>
      <w:r w:rsidRPr="00DA4E94">
        <w:rPr>
          <w:rFonts w:ascii="Open Sans" w:eastAsiaTheme="minorHAnsi" w:hAnsi="Open Sans" w:cstheme="minorBidi"/>
          <w:color w:val="auto"/>
          <w:sz w:val="24"/>
          <w:szCs w:val="22"/>
          <w:lang w:eastAsia="en-US"/>
        </w:rPr>
        <w:t xml:space="preserve">Section </w:t>
      </w:r>
      <w:r w:rsidR="00131BB9" w:rsidRPr="00DA4E94">
        <w:rPr>
          <w:rFonts w:ascii="Open Sans" w:eastAsiaTheme="minorHAnsi" w:hAnsi="Open Sans" w:cstheme="minorBidi"/>
          <w:color w:val="auto"/>
          <w:sz w:val="24"/>
          <w:szCs w:val="22"/>
          <w:lang w:eastAsia="en-US"/>
        </w:rPr>
        <w:t>5</w:t>
      </w:r>
      <w:r w:rsidR="00A7294C" w:rsidRPr="00DA4E94">
        <w:rPr>
          <w:rFonts w:ascii="Open Sans" w:eastAsiaTheme="minorHAnsi" w:hAnsi="Open Sans" w:cstheme="minorBidi"/>
          <w:color w:val="auto"/>
          <w:sz w:val="24"/>
          <w:szCs w:val="22"/>
          <w:lang w:eastAsia="en-US"/>
        </w:rPr>
        <w:t>.1</w:t>
      </w:r>
      <w:r w:rsidRPr="00DA4E94">
        <w:rPr>
          <w:rFonts w:ascii="Open Sans" w:eastAsiaTheme="minorHAnsi" w:hAnsi="Open Sans" w:cstheme="minorBidi"/>
          <w:color w:val="auto"/>
          <w:sz w:val="24"/>
          <w:szCs w:val="22"/>
          <w:lang w:eastAsia="en-US"/>
        </w:rPr>
        <w:t xml:space="preserve"> General principles). </w:t>
      </w:r>
      <w:r w:rsidR="00B7310E" w:rsidRPr="00DA4E94">
        <w:rPr>
          <w:rFonts w:ascii="Open Sans" w:eastAsiaTheme="minorHAnsi" w:hAnsi="Open Sans" w:cstheme="minorBidi"/>
          <w:color w:val="auto"/>
          <w:sz w:val="24"/>
          <w:szCs w:val="22"/>
          <w:lang w:eastAsia="en-US"/>
        </w:rPr>
        <w:t>To</w:t>
      </w:r>
      <w:r w:rsidRPr="00DA4E94">
        <w:rPr>
          <w:rFonts w:ascii="Open Sans" w:eastAsiaTheme="minorHAnsi" w:hAnsi="Open Sans" w:cstheme="minorBidi"/>
          <w:color w:val="auto"/>
          <w:sz w:val="24"/>
          <w:szCs w:val="22"/>
          <w:lang w:eastAsia="en-US"/>
        </w:rPr>
        <w:t xml:space="preserve"> apply for reimbursement,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will deliver the project progress report to the JS via SL2021, supported by the necessary documentation.</w:t>
      </w:r>
    </w:p>
    <w:p w14:paraId="2BEDD65D" w14:textId="7D68CCAC" w:rsidR="00DA4E94" w:rsidRPr="0060298F" w:rsidRDefault="00067504" w:rsidP="0060298F">
      <w:pPr>
        <w:pStyle w:val="BodyText"/>
        <w:spacing w:line="360" w:lineRule="auto"/>
        <w:rPr>
          <w:rFonts w:ascii="Open Sans" w:eastAsia="Open Sans" w:hAnsi="Open Sans" w:cs="Open Sans"/>
          <w:color w:val="auto"/>
          <w:sz w:val="20"/>
          <w:szCs w:val="20"/>
          <w:lang w:eastAsia="en-US"/>
        </w:rPr>
      </w:pPr>
      <w:r>
        <w:rPr>
          <w:noProof/>
        </w:rPr>
        <w:drawing>
          <wp:inline distT="0" distB="0" distL="0" distR="0" wp14:anchorId="293035B2" wp14:editId="1DA6CBD5">
            <wp:extent cx="4879194" cy="2934586"/>
            <wp:effectExtent l="0" t="0" r="0" b="0"/>
            <wp:docPr id="1768900661" name="Picture 1" descr="Here there is a figure in the document that indicates the different responsible organisations in the reporting process. Project partners (including the LP) submit their partner reports to their respective First Level Controllers (FLC). The partner progress reports verified by the FLCs are uploaded to the project progress report by the LP and submitted to the JS/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900661" name="Picture 1" descr="Here there is a figure in the document that indicates the different responsible organisations in the reporting process. Project partners (including the LP) submit their partner reports to their respective First Level Controllers (FLC). The partner progress reports verified by the FLCs are uploaded to the project progress report by the LP and submitted to the JS/MA."/>
                    <pic:cNvPicPr/>
                  </pic:nvPicPr>
                  <pic:blipFill>
                    <a:blip r:embed="rId51">
                      <a:extLst>
                        <a:ext uri="{28A0092B-C50C-407E-A947-70E740481C1C}">
                          <a14:useLocalDpi xmlns:a14="http://schemas.microsoft.com/office/drawing/2010/main" val="0"/>
                        </a:ext>
                      </a:extLst>
                    </a:blip>
                    <a:stretch>
                      <a:fillRect/>
                    </a:stretch>
                  </pic:blipFill>
                  <pic:spPr>
                    <a:xfrm>
                      <a:off x="0" y="0"/>
                      <a:ext cx="4879194" cy="2934586"/>
                    </a:xfrm>
                    <a:prstGeom prst="rect">
                      <a:avLst/>
                    </a:prstGeom>
                  </pic:spPr>
                </pic:pic>
              </a:graphicData>
            </a:graphic>
          </wp:inline>
        </w:drawing>
      </w:r>
    </w:p>
    <w:p w14:paraId="649D799A" w14:textId="0FD9A724" w:rsidR="00931319" w:rsidRPr="00DA4E94" w:rsidRDefault="00931319"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Reporting at the partner level (partner progress report)</w:t>
      </w:r>
    </w:p>
    <w:p w14:paraId="084EFDFD" w14:textId="11555F80" w:rsidR="00931319" w:rsidRPr="00DA4E94" w:rsidRDefault="0093131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Project partners should provide </w:t>
      </w:r>
      <w:r w:rsidR="00BB53B5" w:rsidRPr="00DA4E94">
        <w:rPr>
          <w:rFonts w:ascii="Open Sans" w:eastAsiaTheme="minorHAnsi" w:hAnsi="Open Sans" w:cstheme="minorBidi"/>
          <w:color w:val="auto"/>
          <w:sz w:val="24"/>
          <w:szCs w:val="22"/>
          <w:lang w:eastAsia="en-US"/>
        </w:rPr>
        <w:t xml:space="preserve">a </w:t>
      </w:r>
      <w:r w:rsidRPr="00DA4E94">
        <w:rPr>
          <w:rFonts w:ascii="Open Sans" w:eastAsiaTheme="minorHAnsi" w:hAnsi="Open Sans" w:cstheme="minorBidi"/>
          <w:color w:val="auto"/>
          <w:sz w:val="24"/>
          <w:szCs w:val="22"/>
          <w:lang w:eastAsia="en-US"/>
        </w:rPr>
        <w:t>partner progress report and all necessary documents to the First Level controller within 15 calendar days after the end of the reporting period, leaving enough time for the First Level controller to carry out verification. In the decentralised FLC systems</w:t>
      </w:r>
      <w:r w:rsidR="00BB53B5" w:rsidRPr="00DA4E94">
        <w:rPr>
          <w:rFonts w:ascii="Open Sans" w:eastAsiaTheme="minorHAnsi" w:hAnsi="Open Sans" w:cstheme="minorBidi"/>
          <w:color w:val="auto"/>
          <w:sz w:val="24"/>
          <w:szCs w:val="22"/>
          <w:lang w:eastAsia="en-US"/>
        </w:rPr>
        <w:t>,</w:t>
      </w:r>
      <w:r w:rsidRPr="00DA4E94">
        <w:rPr>
          <w:rFonts w:ascii="Open Sans" w:eastAsiaTheme="minorHAnsi" w:hAnsi="Open Sans" w:cstheme="minorBidi"/>
          <w:color w:val="auto"/>
          <w:sz w:val="24"/>
          <w:szCs w:val="22"/>
          <w:lang w:eastAsia="en-US"/>
        </w:rPr>
        <w:t xml:space="preserve">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may allow project partners to agree individually with their FLCs on the time of delivery of documents for control, on the condition that it does not delay the delivery of </w:t>
      </w:r>
      <w:r w:rsidR="00BB53B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project progress report nor the time for the</w:t>
      </w:r>
      <w:r w:rsidR="008122ED" w:rsidRPr="00DA4E94">
        <w:rPr>
          <w:rFonts w:ascii="Open Sans" w:eastAsiaTheme="minorHAnsi" w:hAnsi="Open Sans" w:cstheme="minorBidi"/>
          <w:color w:val="auto"/>
          <w:sz w:val="24"/>
          <w:szCs w:val="22"/>
          <w:lang w:eastAsia="en-US"/>
        </w:rPr>
        <w:t xml:space="preserve"> lead</w:t>
      </w:r>
      <w:r w:rsidR="00D45EFF" w:rsidRPr="00DA4E94">
        <w:rPr>
          <w:rFonts w:ascii="Open Sans" w:eastAsiaTheme="minorHAnsi" w:hAnsi="Open Sans" w:cstheme="minorBidi"/>
          <w:color w:val="auto"/>
          <w:sz w:val="24"/>
          <w:szCs w:val="22"/>
          <w:lang w:eastAsia="en-US"/>
        </w:rPr>
        <w:t xml:space="preserve"> partner</w:t>
      </w:r>
      <w:r w:rsidRPr="00DA4E94">
        <w:rPr>
          <w:rFonts w:ascii="Open Sans" w:eastAsiaTheme="minorHAnsi" w:hAnsi="Open Sans" w:cstheme="minorBidi"/>
          <w:color w:val="auto"/>
          <w:sz w:val="24"/>
          <w:szCs w:val="22"/>
          <w:lang w:eastAsia="en-US"/>
        </w:rPr>
        <w:t xml:space="preserve"> to prepare the project progress report. In accordance with EU regulations</w:t>
      </w:r>
      <w:r w:rsidR="00BB53B5" w:rsidRPr="00DA4E94">
        <w:rPr>
          <w:rFonts w:ascii="Open Sans" w:eastAsiaTheme="minorHAnsi" w:hAnsi="Open Sans" w:cstheme="minorBidi"/>
          <w:color w:val="auto"/>
          <w:sz w:val="24"/>
          <w:szCs w:val="22"/>
          <w:lang w:eastAsia="en-US"/>
        </w:rPr>
        <w:t>,</w:t>
      </w:r>
      <w:r w:rsidRPr="00DA4E94">
        <w:rPr>
          <w:rFonts w:ascii="Open Sans" w:eastAsiaTheme="minorHAnsi" w:hAnsi="Open Sans" w:cstheme="minorBidi"/>
          <w:color w:val="auto"/>
          <w:sz w:val="24"/>
          <w:szCs w:val="22"/>
          <w:lang w:eastAsia="en-US"/>
        </w:rPr>
        <w:t xml:space="preserve"> the First Level controllers </w:t>
      </w:r>
      <w:r w:rsidRPr="00DA4E94">
        <w:rPr>
          <w:rFonts w:ascii="Open Sans" w:eastAsiaTheme="minorHAnsi" w:hAnsi="Open Sans" w:cstheme="minorBidi"/>
          <w:color w:val="auto"/>
          <w:sz w:val="24"/>
          <w:szCs w:val="22"/>
          <w:lang w:eastAsia="en-US"/>
        </w:rPr>
        <w:lastRenderedPageBreak/>
        <w:t xml:space="preserve">have 90 calendar days to complete </w:t>
      </w:r>
      <w:r w:rsidR="00BB53B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 xml:space="preserve">verification of the expenditure. However, </w:t>
      </w:r>
      <w:r w:rsidR="00B7310E" w:rsidRPr="00DA4E94">
        <w:rPr>
          <w:rFonts w:ascii="Open Sans" w:eastAsiaTheme="minorHAnsi" w:hAnsi="Open Sans" w:cstheme="minorBidi"/>
          <w:color w:val="auto"/>
          <w:sz w:val="24"/>
          <w:szCs w:val="22"/>
          <w:lang w:eastAsia="en-US"/>
        </w:rPr>
        <w:t>to</w:t>
      </w:r>
      <w:r w:rsidRPr="00DA4E94">
        <w:rPr>
          <w:rFonts w:ascii="Open Sans" w:eastAsiaTheme="minorHAnsi" w:hAnsi="Open Sans" w:cstheme="minorBidi"/>
          <w:color w:val="auto"/>
          <w:sz w:val="24"/>
          <w:szCs w:val="22"/>
          <w:lang w:eastAsia="en-US"/>
        </w:rPr>
        <w:t xml:space="preserve"> allow </w:t>
      </w:r>
      <w:r w:rsidR="00BB53B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 xml:space="preserve">timely provision of the project progress report to the JS, the First Level controller is recommended to complete </w:t>
      </w:r>
      <w:r w:rsidR="00BB53B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 xml:space="preserve">verification of expenditure in 60 calendar days (if possible) </w:t>
      </w:r>
      <w:r w:rsidR="00B7310E" w:rsidRPr="00DA4E94">
        <w:rPr>
          <w:rFonts w:ascii="Open Sans" w:eastAsiaTheme="minorHAnsi" w:hAnsi="Open Sans" w:cstheme="minorBidi"/>
          <w:color w:val="auto"/>
          <w:sz w:val="24"/>
          <w:szCs w:val="22"/>
          <w:lang w:eastAsia="en-US"/>
        </w:rPr>
        <w:t>to</w:t>
      </w:r>
      <w:r w:rsidRPr="00DA4E94">
        <w:rPr>
          <w:rFonts w:ascii="Open Sans" w:eastAsiaTheme="minorHAnsi" w:hAnsi="Open Sans" w:cstheme="minorBidi"/>
          <w:color w:val="auto"/>
          <w:sz w:val="24"/>
          <w:szCs w:val="22"/>
          <w:lang w:eastAsia="en-US"/>
        </w:rPr>
        <w:t xml:space="preserve"> facilitate a smooth reimbursement process.</w:t>
      </w:r>
      <w:r w:rsidRPr="00DA4E94" w:rsidDel="00690D44">
        <w:rPr>
          <w:rFonts w:ascii="Open Sans" w:eastAsiaTheme="minorHAnsi" w:hAnsi="Open Sans" w:cstheme="minorBidi"/>
          <w:color w:val="auto"/>
          <w:sz w:val="24"/>
          <w:szCs w:val="22"/>
          <w:lang w:eastAsia="en-US"/>
        </w:rPr>
        <w:t xml:space="preserve"> </w:t>
      </w:r>
      <w:r w:rsidRPr="00DA4E94">
        <w:rPr>
          <w:rFonts w:ascii="Open Sans" w:eastAsiaTheme="minorHAnsi" w:hAnsi="Open Sans" w:cstheme="minorBidi"/>
          <w:color w:val="auto"/>
          <w:sz w:val="24"/>
          <w:szCs w:val="22"/>
          <w:lang w:eastAsia="en-US"/>
        </w:rPr>
        <w:t xml:space="preserve">Taking into account that, during verification, the First Level controller might request the project partner to provide supporting documents, project partners are advised to have all supporting documents at their disposal for possible clarification requests.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and project partners should cooperate closely with their First Level controller during the reporting process. The deadlines for providing the partner progress report, documents and answers to the clarifications/questions of the First Level controller by project partners may be set out in the Partnership Agreements.</w:t>
      </w:r>
    </w:p>
    <w:p w14:paraId="614C15E8" w14:textId="0D4D036E" w:rsidR="008331F6" w:rsidRPr="00DA4E94" w:rsidRDefault="0093131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In exceptional cases, if the project partner is not able to deliver </w:t>
      </w:r>
      <w:r w:rsidR="00BB53B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necessary explanations and additional documents as part of the clarifications to the First Level controller within the set deadline,</w:t>
      </w:r>
      <w:r w:rsidRPr="00DA4E94" w:rsidDel="00F471D0">
        <w:rPr>
          <w:rFonts w:ascii="Open Sans" w:eastAsiaTheme="minorHAnsi" w:hAnsi="Open Sans" w:cstheme="minorBidi"/>
          <w:color w:val="auto"/>
          <w:sz w:val="24"/>
          <w:szCs w:val="22"/>
          <w:lang w:eastAsia="en-US"/>
        </w:rPr>
        <w:t xml:space="preserve"> </w:t>
      </w:r>
      <w:r w:rsidRPr="00DA4E94">
        <w:rPr>
          <w:rFonts w:ascii="Open Sans" w:eastAsiaTheme="minorHAnsi" w:hAnsi="Open Sans" w:cstheme="minorBidi"/>
          <w:color w:val="auto"/>
          <w:sz w:val="24"/>
          <w:szCs w:val="22"/>
          <w:lang w:eastAsia="en-US"/>
        </w:rPr>
        <w:t xml:space="preserve">related costs can be claimed in the next reporting period (as they will not be certified in </w:t>
      </w:r>
      <w:r w:rsidR="00BB53B5"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given reporting period and the First Level controller will finalise their work and certify only the costs that were not questioned).</w:t>
      </w:r>
    </w:p>
    <w:p w14:paraId="18022801" w14:textId="77777777" w:rsidR="00931319" w:rsidRPr="00DA4E94" w:rsidRDefault="00931319" w:rsidP="003C58C0">
      <w:pPr>
        <w:pStyle w:val="SBText"/>
        <w:spacing w:line="360" w:lineRule="auto"/>
        <w:rPr>
          <w:rFonts w:ascii="Open Sans SemiBold" w:eastAsia="Open Sans SemiBold" w:hAnsi="Open Sans SemiBold" w:cs="Open Sans SemiBold"/>
          <w:bCs/>
          <w:color w:val="003399"/>
          <w:sz w:val="24"/>
          <w:szCs w:val="24"/>
          <w:lang w:val="en-US" w:eastAsia="en-US"/>
        </w:rPr>
      </w:pPr>
      <w:r w:rsidRPr="00DA4E94">
        <w:rPr>
          <w:rFonts w:ascii="Open Sans SemiBold" w:eastAsia="Open Sans SemiBold" w:hAnsi="Open Sans SemiBold" w:cs="Open Sans SemiBold"/>
          <w:bCs/>
          <w:color w:val="003399"/>
          <w:sz w:val="24"/>
          <w:szCs w:val="24"/>
          <w:lang w:val="en-US" w:eastAsia="en-US"/>
        </w:rPr>
        <w:t>Reporting at the project level (project progress report)</w:t>
      </w:r>
    </w:p>
    <w:p w14:paraId="25C56B22" w14:textId="07DD5B11" w:rsidR="00931319" w:rsidRPr="00DA4E94" w:rsidRDefault="00931319" w:rsidP="003C58C0">
      <w:pPr>
        <w:pStyle w:val="SBText"/>
        <w:spacing w:line="360" w:lineRule="auto"/>
        <w:rPr>
          <w:rFonts w:ascii="Open Sans" w:eastAsia="Open Sans" w:hAnsi="Open Sans" w:cs="Open Sans"/>
          <w:color w:val="auto"/>
          <w:sz w:val="24"/>
          <w:szCs w:val="24"/>
          <w:lang w:val="en-US" w:eastAsia="en-US"/>
        </w:rPr>
      </w:pPr>
      <w:r w:rsidRPr="00DA4E94">
        <w:rPr>
          <w:rFonts w:ascii="Open Sans" w:eastAsia="Open Sans" w:hAnsi="Open Sans" w:cs="Open Sans"/>
          <w:color w:val="auto"/>
          <w:sz w:val="24"/>
          <w:szCs w:val="24"/>
          <w:lang w:val="en-US" w:eastAsia="en-US"/>
        </w:rPr>
        <w:t xml:space="preserve">The </w:t>
      </w:r>
      <w:r w:rsidR="008122ED" w:rsidRPr="00DA4E94">
        <w:rPr>
          <w:rFonts w:ascii="Open Sans" w:eastAsia="Open Sans" w:hAnsi="Open Sans" w:cs="Open Sans"/>
          <w:color w:val="auto"/>
          <w:sz w:val="24"/>
          <w:szCs w:val="24"/>
          <w:lang w:val="en-US" w:eastAsia="en-US"/>
        </w:rPr>
        <w:t>l</w:t>
      </w:r>
      <w:r w:rsidR="00D45EFF" w:rsidRPr="00DA4E94">
        <w:rPr>
          <w:rFonts w:ascii="Open Sans" w:eastAsia="Open Sans" w:hAnsi="Open Sans" w:cs="Open Sans"/>
          <w:color w:val="auto"/>
          <w:sz w:val="24"/>
          <w:szCs w:val="24"/>
          <w:lang w:val="en-US" w:eastAsia="en-US"/>
        </w:rPr>
        <w:t>ead partner</w:t>
      </w:r>
      <w:r w:rsidRPr="00DA4E94">
        <w:rPr>
          <w:rFonts w:ascii="Open Sans" w:eastAsia="Open Sans" w:hAnsi="Open Sans" w:cs="Open Sans"/>
          <w:color w:val="auto"/>
          <w:sz w:val="24"/>
          <w:szCs w:val="24"/>
          <w:lang w:val="en-US" w:eastAsia="en-US"/>
        </w:rPr>
        <w:t xml:space="preserve"> is obliged to provide the project progress report to the JS for each reporting period. If the </w:t>
      </w:r>
      <w:r w:rsidR="008122ED" w:rsidRPr="00DA4E94">
        <w:rPr>
          <w:rFonts w:ascii="Open Sans" w:eastAsia="Open Sans" w:hAnsi="Open Sans" w:cs="Open Sans"/>
          <w:color w:val="auto"/>
          <w:sz w:val="24"/>
          <w:szCs w:val="24"/>
          <w:lang w:val="en-US" w:eastAsia="en-US"/>
        </w:rPr>
        <w:t>l</w:t>
      </w:r>
      <w:r w:rsidR="00D45EFF" w:rsidRPr="00DA4E94">
        <w:rPr>
          <w:rFonts w:ascii="Open Sans" w:eastAsia="Open Sans" w:hAnsi="Open Sans" w:cs="Open Sans"/>
          <w:color w:val="auto"/>
          <w:sz w:val="24"/>
          <w:szCs w:val="24"/>
          <w:lang w:val="en-US" w:eastAsia="en-US"/>
        </w:rPr>
        <w:t>ead partner</w:t>
      </w:r>
      <w:r w:rsidRPr="00DA4E94">
        <w:rPr>
          <w:rFonts w:ascii="Open Sans" w:eastAsia="Open Sans" w:hAnsi="Open Sans" w:cs="Open Sans"/>
          <w:color w:val="auto"/>
          <w:sz w:val="24"/>
          <w:szCs w:val="24"/>
          <w:lang w:val="en-US" w:eastAsia="en-US"/>
        </w:rPr>
        <w:t xml:space="preserve"> is not able to provide the project progress report by the above-mentioned deadline, it should inform the JS via SL</w:t>
      </w:r>
      <w:r w:rsidR="007F6AF4" w:rsidRPr="00DA4E94">
        <w:rPr>
          <w:rFonts w:ascii="Open Sans" w:eastAsia="Open Sans" w:hAnsi="Open Sans" w:cs="Open Sans"/>
          <w:color w:val="auto"/>
          <w:sz w:val="24"/>
          <w:szCs w:val="24"/>
          <w:lang w:val="en-US" w:eastAsia="en-US"/>
        </w:rPr>
        <w:t>2021</w:t>
      </w:r>
      <w:r w:rsidRPr="00DA4E94">
        <w:rPr>
          <w:rFonts w:ascii="Open Sans" w:eastAsia="Open Sans" w:hAnsi="Open Sans" w:cs="Open Sans"/>
          <w:color w:val="auto"/>
          <w:sz w:val="24"/>
          <w:szCs w:val="24"/>
          <w:lang w:val="en-US" w:eastAsia="en-US"/>
        </w:rPr>
        <w:t xml:space="preserve"> stating the reasons for the delay </w:t>
      </w:r>
      <w:r w:rsidR="003E407D" w:rsidRPr="00DA4E94">
        <w:rPr>
          <w:rFonts w:ascii="Open Sans" w:eastAsia="Open Sans" w:hAnsi="Open Sans" w:cs="Open Sans"/>
          <w:color w:val="auto"/>
          <w:sz w:val="24"/>
          <w:szCs w:val="24"/>
          <w:lang w:val="en-US" w:eastAsia="en-US"/>
        </w:rPr>
        <w:t>and</w:t>
      </w:r>
      <w:r w:rsidRPr="00DA4E94">
        <w:rPr>
          <w:rFonts w:ascii="Open Sans" w:eastAsia="Open Sans" w:hAnsi="Open Sans" w:cs="Open Sans"/>
          <w:color w:val="auto"/>
          <w:sz w:val="24"/>
          <w:szCs w:val="24"/>
          <w:lang w:val="en-US" w:eastAsia="en-US"/>
        </w:rPr>
        <w:t xml:space="preserve"> indicating an alternative delivery date. It is recommended that the project progress reports are provided within 15 calendar days after all project partners have been certified by respective First Level controllers. </w:t>
      </w:r>
    </w:p>
    <w:p w14:paraId="21ABB6BE" w14:textId="4ECC1164" w:rsidR="00931319" w:rsidRPr="00DA4E94" w:rsidRDefault="00931319" w:rsidP="003C58C0">
      <w:pPr>
        <w:pStyle w:val="SBText"/>
        <w:spacing w:line="360" w:lineRule="auto"/>
        <w:rPr>
          <w:rFonts w:ascii="Open Sans" w:eastAsia="Open Sans" w:hAnsi="Open Sans" w:cs="Open Sans"/>
          <w:color w:val="auto"/>
          <w:sz w:val="24"/>
          <w:szCs w:val="24"/>
          <w:lang w:val="en-US" w:eastAsia="en-US"/>
        </w:rPr>
      </w:pPr>
      <w:r w:rsidRPr="00DA4E94">
        <w:rPr>
          <w:rFonts w:ascii="Open Sans" w:eastAsia="Open Sans" w:hAnsi="Open Sans" w:cs="Open Sans"/>
          <w:color w:val="auto"/>
          <w:sz w:val="24"/>
          <w:szCs w:val="24"/>
          <w:lang w:val="en-US" w:eastAsia="en-US"/>
        </w:rPr>
        <w:lastRenderedPageBreak/>
        <w:t xml:space="preserve">The final project progress report serves as the request for the final payment to the project. It consists of the project progress report and additional attachments. </w:t>
      </w:r>
      <w:r w:rsidR="003E407D" w:rsidRPr="00DA4E94">
        <w:rPr>
          <w:rFonts w:ascii="Open Sans" w:eastAsia="Open Sans" w:hAnsi="Open Sans" w:cs="Open Sans"/>
          <w:color w:val="auto"/>
          <w:sz w:val="24"/>
          <w:szCs w:val="24"/>
          <w:lang w:val="en-US" w:eastAsia="en-US"/>
        </w:rPr>
        <w:t xml:space="preserve">The information </w:t>
      </w:r>
      <w:r w:rsidRPr="00DA4E94">
        <w:rPr>
          <w:rFonts w:ascii="Open Sans" w:eastAsia="Open Sans" w:hAnsi="Open Sans" w:cs="Open Sans"/>
          <w:color w:val="auto"/>
          <w:sz w:val="24"/>
          <w:szCs w:val="24"/>
          <w:lang w:val="en-US" w:eastAsia="en-US"/>
        </w:rPr>
        <w:t>required in the attachments refers, in particular, to project results and objectives.</w:t>
      </w:r>
      <w:r w:rsidR="00C32F77" w:rsidRPr="00DA4E94">
        <w:rPr>
          <w:rFonts w:ascii="Open Sans" w:eastAsia="Open Sans" w:hAnsi="Open Sans" w:cs="Open Sans"/>
          <w:color w:val="auto"/>
          <w:sz w:val="24"/>
          <w:szCs w:val="24"/>
          <w:lang w:val="en-US" w:eastAsia="en-US"/>
        </w:rPr>
        <w:t xml:space="preserve"> </w:t>
      </w:r>
      <w:r w:rsidRPr="00DA4E94">
        <w:rPr>
          <w:rFonts w:ascii="Open Sans" w:eastAsia="Open Sans" w:hAnsi="Open Sans" w:cs="Open Sans"/>
          <w:color w:val="auto"/>
          <w:sz w:val="24"/>
          <w:szCs w:val="24"/>
          <w:lang w:val="en-US" w:eastAsia="en-US"/>
        </w:rPr>
        <w:t xml:space="preserve">The </w:t>
      </w:r>
      <w:r w:rsidR="008122ED" w:rsidRPr="00DA4E94">
        <w:rPr>
          <w:rFonts w:ascii="Open Sans" w:eastAsia="Open Sans" w:hAnsi="Open Sans" w:cs="Open Sans"/>
          <w:color w:val="auto"/>
          <w:sz w:val="24"/>
          <w:szCs w:val="24"/>
          <w:lang w:val="en-US" w:eastAsia="en-US"/>
        </w:rPr>
        <w:t>l</w:t>
      </w:r>
      <w:r w:rsidR="00D45EFF" w:rsidRPr="00DA4E94">
        <w:rPr>
          <w:rFonts w:ascii="Open Sans" w:eastAsia="Open Sans" w:hAnsi="Open Sans" w:cs="Open Sans"/>
          <w:color w:val="auto"/>
          <w:sz w:val="24"/>
          <w:szCs w:val="24"/>
          <w:lang w:val="en-US" w:eastAsia="en-US"/>
        </w:rPr>
        <w:t>ead partner</w:t>
      </w:r>
      <w:r w:rsidRPr="00DA4E94">
        <w:rPr>
          <w:rFonts w:ascii="Open Sans" w:eastAsia="Open Sans" w:hAnsi="Open Sans" w:cs="Open Sans"/>
          <w:color w:val="auto"/>
          <w:sz w:val="24"/>
          <w:szCs w:val="24"/>
          <w:lang w:val="en-US" w:eastAsia="en-US"/>
        </w:rPr>
        <w:t xml:space="preserve"> </w:t>
      </w:r>
      <w:r w:rsidR="005C70B7" w:rsidRPr="00DA4E94">
        <w:rPr>
          <w:rFonts w:ascii="Open Sans" w:eastAsia="Open Sans" w:hAnsi="Open Sans" w:cs="Open Sans"/>
          <w:color w:val="auto"/>
          <w:sz w:val="24"/>
          <w:szCs w:val="24"/>
          <w:lang w:val="en-US" w:eastAsia="en-US"/>
        </w:rPr>
        <w:t>must</w:t>
      </w:r>
      <w:r w:rsidRPr="00DA4E94">
        <w:rPr>
          <w:rFonts w:ascii="Open Sans" w:eastAsia="Open Sans" w:hAnsi="Open Sans" w:cs="Open Sans"/>
          <w:color w:val="auto"/>
          <w:sz w:val="24"/>
          <w:szCs w:val="24"/>
          <w:lang w:val="en-US" w:eastAsia="en-US"/>
        </w:rPr>
        <w:t xml:space="preserve"> provide the report and the attachments in the SL2021 system within 120 calendar days from the end of the project implementation period (end date set in the Subsidy Contract).</w:t>
      </w:r>
    </w:p>
    <w:p w14:paraId="4D87709A" w14:textId="7B99E623" w:rsidR="000A49FB" w:rsidRPr="000A49FB" w:rsidRDefault="00931319" w:rsidP="003C58C0">
      <w:pPr>
        <w:spacing w:line="360" w:lineRule="auto"/>
      </w:pPr>
      <w:r w:rsidRPr="000A49FB">
        <w:t xml:space="preserve">The timeline of submitting partner and project progress reports is presented </w:t>
      </w:r>
      <w:r w:rsidR="003E407D" w:rsidRPr="000A49FB">
        <w:t xml:space="preserve">in </w:t>
      </w:r>
      <w:r w:rsidRPr="000A49FB">
        <w:t xml:space="preserve">the figure below. </w:t>
      </w:r>
    </w:p>
    <w:p w14:paraId="27F309B3" w14:textId="5A1EBEE7" w:rsidR="0013230F" w:rsidRPr="000A49FB" w:rsidRDefault="000A49FB" w:rsidP="003C58C0">
      <w:pPr>
        <w:pStyle w:val="SBHEADING3"/>
        <w:spacing w:line="360" w:lineRule="auto"/>
        <w:jc w:val="center"/>
      </w:pPr>
      <w:bookmarkStart w:id="180" w:name="VI74"/>
      <w:r>
        <w:rPr>
          <w:noProof/>
        </w:rPr>
        <w:drawing>
          <wp:inline distT="0" distB="0" distL="0" distR="0" wp14:anchorId="2E1992B4" wp14:editId="4EBAFC6F">
            <wp:extent cx="4897617" cy="2658140"/>
            <wp:effectExtent l="0" t="0" r="0" b="8890"/>
            <wp:docPr id="508484857" name="Picture 1" descr="The timeline of submitting partner and project progress reports is presented in the figure in the document. The partner progress reports have to be submitted to the FLC 15 days after the end of the reporting period. Then the FLC has 90 days (60 days recommended) to verify the partner progress report. Once the partner progress reports are verified by the FLCs, the LP has 15 days to prepare the project progress report an submit it to the JS. The whole process lasts till 120 days. After the project progress report is submitted to the JS, it starts the verification as soon as possible. The verification lasts up to 21 d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484857" name="Picture 1" descr="The timeline of submitting partner and project progress reports is presented in the figure in the document. The partner progress reports have to be submitted to the FLC 15 days after the end of the reporting period. Then the FLC has 90 days (60 days recommended) to verify the partner progress report. Once the partner progress reports are verified by the FLCs, the LP has 15 days to prepare the project progress report an submit it to the JS. The whole process lasts till 120 days. After the project progress report is submitted to the JS, it starts the verification as soon as possible. The verification lasts up to 21 days."/>
                    <pic:cNvPicPr/>
                  </pic:nvPicPr>
                  <pic:blipFill>
                    <a:blip r:embed="rId52"/>
                    <a:stretch>
                      <a:fillRect/>
                    </a:stretch>
                  </pic:blipFill>
                  <pic:spPr>
                    <a:xfrm>
                      <a:off x="0" y="0"/>
                      <a:ext cx="4901403" cy="2660195"/>
                    </a:xfrm>
                    <a:prstGeom prst="rect">
                      <a:avLst/>
                    </a:prstGeom>
                  </pic:spPr>
                </pic:pic>
              </a:graphicData>
            </a:graphic>
          </wp:inline>
        </w:drawing>
      </w:r>
      <w:bookmarkEnd w:id="180"/>
    </w:p>
    <w:p w14:paraId="7E45DEDF" w14:textId="0238BC67" w:rsidR="007129BE" w:rsidRPr="000A49FB" w:rsidRDefault="001A7C11" w:rsidP="003C58C0">
      <w:pPr>
        <w:pStyle w:val="Heading3"/>
        <w:spacing w:line="360" w:lineRule="auto"/>
      </w:pPr>
      <w:bookmarkStart w:id="181" w:name="_Toc147242475"/>
      <w:r w:rsidRPr="000A49FB">
        <w:t>5</w:t>
      </w:r>
      <w:r w:rsidR="007129BE" w:rsidRPr="000A49FB">
        <w:t>.5 Reimbursement of project costs</w:t>
      </w:r>
      <w:bookmarkEnd w:id="181"/>
    </w:p>
    <w:p w14:paraId="5B4C2B5A" w14:textId="77777777" w:rsidR="00931319" w:rsidRPr="000A49FB" w:rsidRDefault="00931319" w:rsidP="003C58C0">
      <w:pPr>
        <w:spacing w:line="360" w:lineRule="auto"/>
      </w:pPr>
      <w:r w:rsidRPr="000A49FB">
        <w:t xml:space="preserve">The reimbursement of the project costs is made after the submission, verification and approval of the project progress reports by the JS. </w:t>
      </w:r>
    </w:p>
    <w:p w14:paraId="1427F610" w14:textId="459E03E2" w:rsidR="00931319" w:rsidRPr="000A49FB" w:rsidRDefault="00931319" w:rsidP="003C58C0">
      <w:pPr>
        <w:spacing w:line="360" w:lineRule="auto"/>
      </w:pPr>
      <w:r w:rsidRPr="000A49FB">
        <w:t xml:space="preserve">The reimbursement is made by the Polish Ministry responsible for Development Funds and Regional Policy to the </w:t>
      </w:r>
      <w:r w:rsidR="008122ED" w:rsidRPr="000A49FB">
        <w:t>l</w:t>
      </w:r>
      <w:r w:rsidR="00D45EFF" w:rsidRPr="000A49FB">
        <w:t>ead partner</w:t>
      </w:r>
      <w:r w:rsidRPr="000A49FB">
        <w:t xml:space="preserve">’s bank account. Details of </w:t>
      </w:r>
      <w:r w:rsidR="003E407D" w:rsidRPr="000A49FB">
        <w:t xml:space="preserve">the </w:t>
      </w:r>
      <w:r w:rsidRPr="000A49FB">
        <w:t xml:space="preserve">bank account need to be provided by the </w:t>
      </w:r>
      <w:r w:rsidR="008122ED" w:rsidRPr="000A49FB">
        <w:t>l</w:t>
      </w:r>
      <w:r w:rsidR="00D45EFF" w:rsidRPr="000A49FB">
        <w:t>ead partner</w:t>
      </w:r>
      <w:r w:rsidRPr="000A49FB">
        <w:t xml:space="preserve"> and included in the Subsidy Contract (see Chapter </w:t>
      </w:r>
      <w:r w:rsidR="00CA5532" w:rsidRPr="000A49FB">
        <w:t>VI</w:t>
      </w:r>
      <w:r w:rsidRPr="000A49FB">
        <w:t xml:space="preserve">, Section </w:t>
      </w:r>
      <w:r w:rsidR="00CA5532" w:rsidRPr="000A49FB">
        <w:t>2</w:t>
      </w:r>
      <w:r w:rsidR="000B13A4" w:rsidRPr="000A49FB">
        <w:t xml:space="preserve"> </w:t>
      </w:r>
      <w:r w:rsidRPr="000A49FB">
        <w:t xml:space="preserve">Use of </w:t>
      </w:r>
      <w:r w:rsidR="003E407D" w:rsidRPr="000A49FB">
        <w:t xml:space="preserve">the </w:t>
      </w:r>
      <w:r w:rsidRPr="000A49FB">
        <w:t xml:space="preserve">Euro). </w:t>
      </w:r>
    </w:p>
    <w:p w14:paraId="011745D8" w14:textId="0E17C3BA" w:rsidR="004136D9" w:rsidRPr="000A49FB" w:rsidRDefault="00931319" w:rsidP="003C58C0">
      <w:pPr>
        <w:spacing w:line="360" w:lineRule="auto"/>
      </w:pPr>
      <w:r w:rsidRPr="000A49FB">
        <w:t xml:space="preserve">For audit purposes, and </w:t>
      </w:r>
      <w:r w:rsidR="003E407D" w:rsidRPr="000A49FB">
        <w:t>for</w:t>
      </w:r>
      <w:r w:rsidRPr="000A49FB">
        <w:t xml:space="preserve"> all payments to the project to be easily identified and thereby transparent, it is strongly recommended that the </w:t>
      </w:r>
      <w:r w:rsidR="008122ED" w:rsidRPr="000A49FB">
        <w:t>l</w:t>
      </w:r>
      <w:r w:rsidR="00D45EFF" w:rsidRPr="000A49FB">
        <w:t>ead partner</w:t>
      </w:r>
      <w:r w:rsidRPr="000A49FB">
        <w:t xml:space="preserve"> opens a </w:t>
      </w:r>
      <w:r w:rsidRPr="000A49FB">
        <w:lastRenderedPageBreak/>
        <w:t xml:space="preserve">separate bank account. </w:t>
      </w:r>
      <w:r w:rsidR="003E407D" w:rsidRPr="000A49FB">
        <w:t>It is also recommended that the bank account is opened in EUR because</w:t>
      </w:r>
      <w:r w:rsidRPr="000A49FB">
        <w:t xml:space="preserve"> the </w:t>
      </w:r>
      <w:r w:rsidR="008122ED" w:rsidRPr="000A49FB">
        <w:t>l</w:t>
      </w:r>
      <w:r w:rsidR="00D45EFF" w:rsidRPr="000A49FB">
        <w:t>ead partner</w:t>
      </w:r>
      <w:r w:rsidRPr="000A49FB">
        <w:t xml:space="preserve"> is responsible for transferring </w:t>
      </w:r>
      <w:r w:rsidR="003E407D" w:rsidRPr="000A49FB">
        <w:t xml:space="preserve">the correct </w:t>
      </w:r>
      <w:r w:rsidRPr="000A49FB">
        <w:t>reimbursement amount of the ERDF to the partners in EUR</w:t>
      </w:r>
      <w:r w:rsidR="003E407D" w:rsidRPr="000A49FB">
        <w:t xml:space="preserve">. </w:t>
      </w:r>
      <w:r w:rsidRPr="000A49FB">
        <w:t xml:space="preserve">This </w:t>
      </w:r>
      <w:r w:rsidR="003E407D" w:rsidRPr="000A49FB">
        <w:t xml:space="preserve">will </w:t>
      </w:r>
      <w:r w:rsidRPr="000A49FB">
        <w:t xml:space="preserve">help the </w:t>
      </w:r>
      <w:r w:rsidR="008122ED" w:rsidRPr="000A49FB">
        <w:t>l</w:t>
      </w:r>
      <w:r w:rsidR="00D45EFF" w:rsidRPr="000A49FB">
        <w:t>ead partner</w:t>
      </w:r>
      <w:r w:rsidRPr="000A49FB">
        <w:t xml:space="preserve"> avoid extra costs related to exchange rate fluctuations, for which full responsibility </w:t>
      </w:r>
      <w:r w:rsidR="005C70B7" w:rsidRPr="000A49FB">
        <w:t>must</w:t>
      </w:r>
      <w:r w:rsidRPr="000A49FB">
        <w:t xml:space="preserve"> be borne by the project partners.</w:t>
      </w:r>
    </w:p>
    <w:p w14:paraId="638414A8" w14:textId="03D15B24" w:rsidR="008754C9" w:rsidRPr="00850A3D" w:rsidRDefault="001A7C11" w:rsidP="003C58C0">
      <w:pPr>
        <w:pStyle w:val="Heading2"/>
        <w:spacing w:line="360" w:lineRule="auto"/>
        <w:rPr>
          <w:rFonts w:ascii="Segoe UI" w:hAnsi="Segoe UI" w:cs="Segoe UI"/>
          <w:color w:val="1C4E6D"/>
          <w:lang w:val="en-GB"/>
        </w:rPr>
      </w:pPr>
      <w:bookmarkStart w:id="182" w:name="_Toc147242476"/>
      <w:r w:rsidRPr="000A49FB">
        <w:t>6</w:t>
      </w:r>
      <w:r w:rsidR="008754C9" w:rsidRPr="000A49FB">
        <w:t xml:space="preserve"> AUDIT AND CONTROL</w:t>
      </w:r>
      <w:bookmarkEnd w:id="182"/>
    </w:p>
    <w:p w14:paraId="5D195E6D" w14:textId="1524C0A4" w:rsidR="008754C9" w:rsidRPr="000A49FB" w:rsidRDefault="001A7C11" w:rsidP="003C58C0">
      <w:pPr>
        <w:pStyle w:val="Heading3"/>
        <w:spacing w:line="360" w:lineRule="auto"/>
      </w:pPr>
      <w:bookmarkStart w:id="183" w:name="_Toc147242477"/>
      <w:r w:rsidRPr="000A49FB">
        <w:t>6</w:t>
      </w:r>
      <w:r w:rsidR="008754C9" w:rsidRPr="000A49FB">
        <w:t>.1 First Level Control</w:t>
      </w:r>
      <w:bookmarkEnd w:id="183"/>
    </w:p>
    <w:p w14:paraId="31485CEE" w14:textId="50520661" w:rsidR="008754C9" w:rsidRPr="000A49FB" w:rsidRDefault="008754C9" w:rsidP="003C58C0">
      <w:pPr>
        <w:spacing w:line="360" w:lineRule="auto"/>
      </w:pPr>
      <w:r w:rsidRPr="000A49FB">
        <w:t xml:space="preserve">Each Programme Member State has set up what is known as a </w:t>
      </w:r>
      <w:r w:rsidR="00F02972" w:rsidRPr="000A49FB">
        <w:t>‘</w:t>
      </w:r>
      <w:r w:rsidRPr="000A49FB">
        <w:t>First Level Control</w:t>
      </w:r>
      <w:r w:rsidR="00F02972" w:rsidRPr="000A49FB">
        <w:t>‘</w:t>
      </w:r>
      <w:r w:rsidRPr="000A49FB">
        <w:t xml:space="preserve"> system according to Article 46 (3) of the Regulation 2021/1059</w:t>
      </w:r>
      <w:r w:rsidR="00FE5413" w:rsidRPr="000A49FB">
        <w:t xml:space="preserve"> (Interreg Regulation)</w:t>
      </w:r>
      <w:r w:rsidRPr="000A49FB">
        <w:t xml:space="preserve"> and Article 74 of the Regulation 2021/1060</w:t>
      </w:r>
      <w:r w:rsidR="00FE5413" w:rsidRPr="000A49FB">
        <w:t xml:space="preserve"> (Common Provisions Regulation)</w:t>
      </w:r>
      <w:r w:rsidRPr="000A49FB">
        <w:t xml:space="preserve">. </w:t>
      </w:r>
    </w:p>
    <w:p w14:paraId="4021EE6D" w14:textId="77777777" w:rsidR="008754C9" w:rsidRPr="000A49FB" w:rsidRDefault="008754C9" w:rsidP="003C58C0">
      <w:pPr>
        <w:spacing w:line="360" w:lineRule="auto"/>
      </w:pPr>
      <w:r w:rsidRPr="000A49FB">
        <w:t>The First Level Control tasks are carried out by national controllers at the partner level, i.e., for the expenditures of each partner separately.</w:t>
      </w:r>
    </w:p>
    <w:p w14:paraId="70C4AEE0" w14:textId="77777777" w:rsidR="008754C9" w:rsidRPr="00DA4E94" w:rsidRDefault="008754C9"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The First Level controllers:</w:t>
      </w:r>
    </w:p>
    <w:p w14:paraId="4475BB10" w14:textId="1EFED9A3" w:rsidR="008754C9" w:rsidRPr="000A49FB" w:rsidRDefault="0033265D" w:rsidP="003C58C0">
      <w:pPr>
        <w:pStyle w:val="ListParagraph"/>
        <w:numPr>
          <w:ilvl w:val="0"/>
          <w:numId w:val="22"/>
        </w:numPr>
        <w:spacing w:line="360" w:lineRule="auto"/>
      </w:pPr>
      <w:r>
        <w:t>M</w:t>
      </w:r>
      <w:r w:rsidR="008754C9" w:rsidRPr="000A49FB">
        <w:t xml:space="preserve">ust be independent from the project, project activities and without private prejudice to the partner controlled. </w:t>
      </w:r>
    </w:p>
    <w:p w14:paraId="73964008" w14:textId="6293C0B7" w:rsidR="008754C9" w:rsidRPr="000A49FB" w:rsidRDefault="0033265D" w:rsidP="003C58C0">
      <w:pPr>
        <w:pStyle w:val="ListParagraph"/>
        <w:numPr>
          <w:ilvl w:val="0"/>
          <w:numId w:val="22"/>
        </w:numPr>
        <w:spacing w:line="360" w:lineRule="auto"/>
      </w:pPr>
      <w:r>
        <w:t>C</w:t>
      </w:r>
      <w:r w:rsidR="008754C9" w:rsidRPr="000A49FB">
        <w:t>arry out management verification</w:t>
      </w:r>
      <w:r w:rsidR="00965511" w:rsidRPr="000A49FB">
        <w:t>s,</w:t>
      </w:r>
      <w:r w:rsidR="008754C9" w:rsidRPr="000A49FB">
        <w:t xml:space="preserve"> which include: administrative verifications of expenditures declared in reports by project partners and on</w:t>
      </w:r>
      <w:r w:rsidR="00965511" w:rsidRPr="000A49FB">
        <w:t>-</w:t>
      </w:r>
      <w:r w:rsidR="008754C9" w:rsidRPr="000A49FB">
        <w:t>the</w:t>
      </w:r>
      <w:r w:rsidR="00965511" w:rsidRPr="000A49FB">
        <w:t>-</w:t>
      </w:r>
      <w:r w:rsidR="008754C9" w:rsidRPr="000A49FB">
        <w:t>spot check</w:t>
      </w:r>
      <w:r w:rsidR="00965511" w:rsidRPr="000A49FB">
        <w:t>s</w:t>
      </w:r>
      <w:r w:rsidR="008754C9" w:rsidRPr="000A49FB">
        <w:t xml:space="preserve"> at the premises of the project partners.</w:t>
      </w:r>
    </w:p>
    <w:p w14:paraId="66237056" w14:textId="47CF373C" w:rsidR="008754C9" w:rsidRPr="00EA0BF9" w:rsidRDefault="008754C9" w:rsidP="003C58C0">
      <w:pPr>
        <w:spacing w:line="360" w:lineRule="auto"/>
      </w:pPr>
      <w:r w:rsidRPr="00EA0BF9">
        <w:t xml:space="preserve">The aim of the management verification is to confirm the eligibility of </w:t>
      </w:r>
      <w:r w:rsidR="00965511" w:rsidRPr="00EA0BF9">
        <w:t xml:space="preserve">the </w:t>
      </w:r>
      <w:r w:rsidRPr="00EA0BF9">
        <w:t xml:space="preserve">expenditures declared, their compliance with programme rules, European Union and national legislation, information and promotion compliance, </w:t>
      </w:r>
      <w:r w:rsidR="00965511" w:rsidRPr="00EA0BF9">
        <w:t xml:space="preserve">achievement of the </w:t>
      </w:r>
      <w:r w:rsidRPr="00EA0BF9">
        <w:t xml:space="preserve">indicators, </w:t>
      </w:r>
      <w:r w:rsidR="00965511" w:rsidRPr="00EA0BF9">
        <w:t xml:space="preserve">and the </w:t>
      </w:r>
      <w:r w:rsidRPr="00EA0BF9">
        <w:t>audit trail.</w:t>
      </w:r>
    </w:p>
    <w:p w14:paraId="78996FC7" w14:textId="77777777" w:rsidR="008754C9" w:rsidRPr="00EA0BF9" w:rsidRDefault="008754C9" w:rsidP="003C58C0">
      <w:pPr>
        <w:spacing w:line="360" w:lineRule="auto"/>
      </w:pPr>
      <w:r w:rsidRPr="00EA0BF9">
        <w:t xml:space="preserve">The FLC systems vary among the Member States that participate in the South Baltic Programme. There are </w:t>
      </w:r>
      <w:r w:rsidRPr="00EA0BF9">
        <w:rPr>
          <w:rFonts w:ascii="Open Sans SemiBold" w:eastAsia="Open Sans SemiBold" w:hAnsi="Open Sans SemiBold" w:cs="Open Sans SemiBold"/>
          <w:bCs/>
          <w:color w:val="003399"/>
        </w:rPr>
        <w:t>two kinds of FLC systems</w:t>
      </w:r>
      <w:r w:rsidRPr="00EA0BF9">
        <w:t xml:space="preserve"> in place:</w:t>
      </w:r>
    </w:p>
    <w:p w14:paraId="31620BA5" w14:textId="2F5E9843" w:rsidR="008754C9" w:rsidRPr="000A49FB" w:rsidRDefault="008754C9" w:rsidP="003C58C0">
      <w:pPr>
        <w:pStyle w:val="ListParagraph"/>
        <w:numPr>
          <w:ilvl w:val="0"/>
          <w:numId w:val="22"/>
        </w:numPr>
        <w:spacing w:line="360" w:lineRule="auto"/>
      </w:pPr>
      <w:r w:rsidRPr="0078661F">
        <w:rPr>
          <w:rFonts w:ascii="Open Sans SemiBold" w:eastAsia="Open Sans SemiBold" w:hAnsi="Open Sans SemiBold" w:cs="Open Sans SemiBold"/>
          <w:bCs/>
          <w:color w:val="003399"/>
        </w:rPr>
        <w:lastRenderedPageBreak/>
        <w:t>Centralised system</w:t>
      </w:r>
      <w:r w:rsidRPr="000A49FB">
        <w:t xml:space="preserve"> (Poland and Sweden)</w:t>
      </w:r>
      <w:r w:rsidR="0033265D">
        <w:t>.</w:t>
      </w:r>
    </w:p>
    <w:p w14:paraId="19659794" w14:textId="1FC1AF9F" w:rsidR="008754C9" w:rsidRPr="000A49FB" w:rsidRDefault="008754C9" w:rsidP="003C58C0">
      <w:pPr>
        <w:pStyle w:val="ListParagraph"/>
        <w:numPr>
          <w:ilvl w:val="0"/>
          <w:numId w:val="22"/>
        </w:numPr>
        <w:spacing w:line="360" w:lineRule="auto"/>
      </w:pPr>
      <w:r w:rsidRPr="0078661F">
        <w:rPr>
          <w:rFonts w:ascii="Open Sans SemiBold" w:eastAsia="Open Sans SemiBold" w:hAnsi="Open Sans SemiBold" w:cs="Open Sans SemiBold"/>
          <w:bCs/>
          <w:color w:val="003399"/>
        </w:rPr>
        <w:t>Decentralised system</w:t>
      </w:r>
      <w:r w:rsidRPr="000A49FB">
        <w:t xml:space="preserve"> (Denmark, Germany</w:t>
      </w:r>
      <w:r w:rsidR="00033A55" w:rsidRPr="000A49FB">
        <w:t>,</w:t>
      </w:r>
      <w:r w:rsidRPr="000A49FB">
        <w:t xml:space="preserve"> and Lithuania).</w:t>
      </w:r>
    </w:p>
    <w:p w14:paraId="6974CC0D" w14:textId="2D4A8270" w:rsidR="008754C9" w:rsidRPr="00DA4E94" w:rsidRDefault="008754C9"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 xml:space="preserve">Recommendations for partners who subcontract </w:t>
      </w:r>
      <w:r w:rsidR="00965511" w:rsidRPr="00DA4E94">
        <w:rPr>
          <w:rFonts w:ascii="Open Sans SemiBold" w:eastAsia="Open Sans SemiBold" w:hAnsi="Open Sans SemiBold" w:cs="Open Sans SemiBold"/>
          <w:bCs/>
          <w:color w:val="003399"/>
          <w:szCs w:val="24"/>
        </w:rPr>
        <w:t xml:space="preserve">the </w:t>
      </w:r>
      <w:r w:rsidRPr="00DA4E94">
        <w:rPr>
          <w:rFonts w:ascii="Open Sans SemiBold" w:eastAsia="Open Sans SemiBold" w:hAnsi="Open Sans SemiBold" w:cs="Open Sans SemiBold"/>
          <w:bCs/>
          <w:color w:val="003399"/>
          <w:szCs w:val="24"/>
        </w:rPr>
        <w:t xml:space="preserve">First Level Controller: </w:t>
      </w:r>
    </w:p>
    <w:p w14:paraId="40C4ECE8" w14:textId="40E890E9" w:rsidR="008754C9" w:rsidRPr="0078661F" w:rsidRDefault="0033265D" w:rsidP="003C58C0">
      <w:pPr>
        <w:pStyle w:val="ListParagraph"/>
        <w:numPr>
          <w:ilvl w:val="0"/>
          <w:numId w:val="22"/>
        </w:numPr>
        <w:spacing w:line="360" w:lineRule="auto"/>
      </w:pPr>
      <w:r>
        <w:t>T</w:t>
      </w:r>
      <w:r w:rsidR="008754C9" w:rsidRPr="0078661F">
        <w:t xml:space="preserve">ake into account the harmonised requirements </w:t>
      </w:r>
      <w:r w:rsidR="00965511" w:rsidRPr="0078661F">
        <w:t xml:space="preserve">with </w:t>
      </w:r>
      <w:r w:rsidR="008754C9" w:rsidRPr="0078661F">
        <w:t xml:space="preserve">regard to the FLC standards described in the General principles on the First Level Control (the document defines </w:t>
      </w:r>
      <w:r w:rsidR="00965511" w:rsidRPr="0078661F">
        <w:t xml:space="preserve">the </w:t>
      </w:r>
      <w:r w:rsidR="008754C9" w:rsidRPr="0078661F">
        <w:t>minimum quality standards of the First Level Control set by the Managing Authority and gives practical guidance on carrying out the First Level Control)</w:t>
      </w:r>
      <w:r>
        <w:t>.</w:t>
      </w:r>
    </w:p>
    <w:p w14:paraId="5DC1667B" w14:textId="49B8673D" w:rsidR="008754C9" w:rsidRPr="0078661F" w:rsidRDefault="0033265D" w:rsidP="003C58C0">
      <w:pPr>
        <w:pStyle w:val="ListParagraph"/>
        <w:numPr>
          <w:ilvl w:val="0"/>
          <w:numId w:val="22"/>
        </w:numPr>
        <w:spacing w:line="360" w:lineRule="auto"/>
      </w:pPr>
      <w:r>
        <w:t>P</w:t>
      </w:r>
      <w:r w:rsidR="008754C9" w:rsidRPr="0078661F">
        <w:t xml:space="preserve">lan costs for the First Level </w:t>
      </w:r>
      <w:r w:rsidR="00965511" w:rsidRPr="0078661F">
        <w:t xml:space="preserve">Controller </w:t>
      </w:r>
      <w:r w:rsidR="008754C9" w:rsidRPr="0078661F">
        <w:t>in the Application Form and for an appropriate amount</w:t>
      </w:r>
      <w:r>
        <w:t>.</w:t>
      </w:r>
    </w:p>
    <w:p w14:paraId="5F857398" w14:textId="2CF767C4" w:rsidR="008754C9" w:rsidRPr="0078661F" w:rsidRDefault="0033265D" w:rsidP="003C58C0">
      <w:pPr>
        <w:pStyle w:val="ListParagraph"/>
        <w:numPr>
          <w:ilvl w:val="0"/>
          <w:numId w:val="22"/>
        </w:numPr>
        <w:spacing w:line="360" w:lineRule="auto"/>
      </w:pPr>
      <w:r>
        <w:t>S</w:t>
      </w:r>
      <w:r w:rsidR="008754C9" w:rsidRPr="0078661F">
        <w:t xml:space="preserve">ubcontract </w:t>
      </w:r>
      <w:r w:rsidR="00965511" w:rsidRPr="0078661F">
        <w:t xml:space="preserve">the </w:t>
      </w:r>
      <w:r w:rsidR="008754C9" w:rsidRPr="0078661F">
        <w:t>FLC well in advance of the first partner progress report, as the process of selecting and approving the FLC can take some time</w:t>
      </w:r>
      <w:r>
        <w:t>.</w:t>
      </w:r>
    </w:p>
    <w:p w14:paraId="1DB0722D" w14:textId="0A76DF12" w:rsidR="008754C9" w:rsidRPr="0078661F" w:rsidRDefault="0033265D" w:rsidP="003C58C0">
      <w:pPr>
        <w:pStyle w:val="ListParagraph"/>
        <w:numPr>
          <w:ilvl w:val="0"/>
          <w:numId w:val="22"/>
        </w:numPr>
        <w:spacing w:line="360" w:lineRule="auto"/>
      </w:pPr>
      <w:r>
        <w:t>F</w:t>
      </w:r>
      <w:r w:rsidR="008754C9" w:rsidRPr="0078661F">
        <w:t>ollow the national procurement rules</w:t>
      </w:r>
      <w:r w:rsidR="00965511" w:rsidRPr="0078661F">
        <w:t>,</w:t>
      </w:r>
      <w:r w:rsidR="008754C9" w:rsidRPr="0078661F">
        <w:t xml:space="preserve"> if required</w:t>
      </w:r>
      <w:r w:rsidR="00965511" w:rsidRPr="0078661F">
        <w:t>,</w:t>
      </w:r>
      <w:r w:rsidR="008754C9" w:rsidRPr="0078661F">
        <w:t xml:space="preserve"> to choose the FLC</w:t>
      </w:r>
      <w:r>
        <w:t>.</w:t>
      </w:r>
    </w:p>
    <w:p w14:paraId="1518E7AA" w14:textId="14570967" w:rsidR="008754C9" w:rsidRPr="0078661F" w:rsidRDefault="0033265D" w:rsidP="003C58C0">
      <w:pPr>
        <w:pStyle w:val="ListParagraph"/>
        <w:numPr>
          <w:ilvl w:val="0"/>
          <w:numId w:val="22"/>
        </w:numPr>
        <w:spacing w:line="360" w:lineRule="auto"/>
      </w:pPr>
      <w:r>
        <w:t>D</w:t>
      </w:r>
      <w:r w:rsidR="008754C9" w:rsidRPr="0078661F">
        <w:t>evelop terms of reference for the audit companies</w:t>
      </w:r>
      <w:r w:rsidR="00D07B80" w:rsidRPr="0078661F">
        <w:t>/</w:t>
      </w:r>
      <w:r w:rsidR="008754C9" w:rsidRPr="0078661F">
        <w:t>auditors based of the information provided in</w:t>
      </w:r>
      <w:r w:rsidR="00965511" w:rsidRPr="0078661F">
        <w:t xml:space="preserve"> the</w:t>
      </w:r>
      <w:r w:rsidR="008754C9" w:rsidRPr="0078661F">
        <w:t xml:space="preserve"> General principles on First Level Control</w:t>
      </w:r>
      <w:r>
        <w:t>.</w:t>
      </w:r>
    </w:p>
    <w:p w14:paraId="777C2AE3" w14:textId="72EE6626" w:rsidR="008754C9" w:rsidRPr="0078661F" w:rsidRDefault="0033265D" w:rsidP="003C58C0">
      <w:pPr>
        <w:pStyle w:val="ListParagraph"/>
        <w:numPr>
          <w:ilvl w:val="0"/>
          <w:numId w:val="22"/>
        </w:numPr>
        <w:spacing w:line="360" w:lineRule="auto"/>
      </w:pPr>
      <w:r>
        <w:t>T</w:t>
      </w:r>
      <w:r w:rsidR="008754C9" w:rsidRPr="0078661F">
        <w:t xml:space="preserve">ake into account </w:t>
      </w:r>
      <w:r w:rsidR="00965511" w:rsidRPr="0078661F">
        <w:t xml:space="preserve">the </w:t>
      </w:r>
      <w:r w:rsidR="008754C9" w:rsidRPr="0078661F">
        <w:t xml:space="preserve">relevant national regulations, which further specify </w:t>
      </w:r>
      <w:r w:rsidR="00965511" w:rsidRPr="0078661F">
        <w:t xml:space="preserve">the </w:t>
      </w:r>
      <w:r w:rsidR="008754C9" w:rsidRPr="0078661F">
        <w:t>qualifications and procedures of the FLC</w:t>
      </w:r>
      <w:r>
        <w:t>.</w:t>
      </w:r>
    </w:p>
    <w:p w14:paraId="71864744" w14:textId="7F275174" w:rsidR="008754C9" w:rsidRPr="0078661F" w:rsidRDefault="0033265D" w:rsidP="003C58C0">
      <w:pPr>
        <w:pStyle w:val="ListParagraph"/>
        <w:numPr>
          <w:ilvl w:val="0"/>
          <w:numId w:val="22"/>
        </w:numPr>
        <w:spacing w:line="360" w:lineRule="auto"/>
      </w:pPr>
      <w:r>
        <w:t>I</w:t>
      </w:r>
      <w:r w:rsidR="008754C9" w:rsidRPr="0078661F">
        <w:t xml:space="preserve">nclude in the contract the obligation for </w:t>
      </w:r>
      <w:r w:rsidR="00965511" w:rsidRPr="0078661F">
        <w:t xml:space="preserve">the </w:t>
      </w:r>
      <w:r w:rsidR="008754C9" w:rsidRPr="0078661F">
        <w:t>FLC to:</w:t>
      </w:r>
    </w:p>
    <w:p w14:paraId="4768DED5" w14:textId="5936F4E4" w:rsidR="008754C9" w:rsidRPr="0078661F" w:rsidRDefault="008754C9" w:rsidP="003C58C0">
      <w:pPr>
        <w:pStyle w:val="ListParagraph"/>
        <w:numPr>
          <w:ilvl w:val="0"/>
          <w:numId w:val="18"/>
        </w:numPr>
        <w:spacing w:line="360" w:lineRule="auto"/>
      </w:pPr>
      <w:r w:rsidRPr="0078661F">
        <w:t>carry out both administrative and on-the-spot</w:t>
      </w:r>
      <w:r w:rsidR="00965511" w:rsidRPr="0078661F">
        <w:t xml:space="preserve"> </w:t>
      </w:r>
      <w:r w:rsidRPr="0078661F">
        <w:t>checks;</w:t>
      </w:r>
    </w:p>
    <w:p w14:paraId="1D397735" w14:textId="1C5DEE6B" w:rsidR="008754C9" w:rsidRPr="0078661F" w:rsidRDefault="008754C9" w:rsidP="003C58C0">
      <w:pPr>
        <w:pStyle w:val="ListParagraph"/>
        <w:numPr>
          <w:ilvl w:val="0"/>
          <w:numId w:val="18"/>
        </w:numPr>
        <w:spacing w:line="360" w:lineRule="auto"/>
      </w:pPr>
      <w:r w:rsidRPr="0078661F">
        <w:t xml:space="preserve">work in CST2021 (to fill it in with </w:t>
      </w:r>
      <w:r w:rsidR="00965511" w:rsidRPr="0078661F">
        <w:t xml:space="preserve">the </w:t>
      </w:r>
      <w:r w:rsidRPr="0078661F">
        <w:t xml:space="preserve">data and control documents </w:t>
      </w:r>
      <w:r w:rsidR="00965511" w:rsidRPr="0078661F">
        <w:t xml:space="preserve">as </w:t>
      </w:r>
      <w:r w:rsidRPr="0078661F">
        <w:t>necessary),</w:t>
      </w:r>
    </w:p>
    <w:p w14:paraId="409F0053" w14:textId="5A9034E5" w:rsidR="008754C9" w:rsidRPr="0078661F" w:rsidRDefault="008754C9" w:rsidP="003C58C0">
      <w:pPr>
        <w:pStyle w:val="ListParagraph"/>
        <w:numPr>
          <w:ilvl w:val="0"/>
          <w:numId w:val="18"/>
        </w:numPr>
        <w:spacing w:line="360" w:lineRule="auto"/>
      </w:pPr>
      <w:r w:rsidRPr="0078661F">
        <w:t>respond to complaints issued by beneficiaries;</w:t>
      </w:r>
    </w:p>
    <w:p w14:paraId="2EDC425A" w14:textId="58F8DA09" w:rsidR="008754C9" w:rsidRPr="0078661F" w:rsidRDefault="008754C9" w:rsidP="003C58C0">
      <w:pPr>
        <w:pStyle w:val="ListParagraph"/>
        <w:numPr>
          <w:ilvl w:val="0"/>
          <w:numId w:val="18"/>
        </w:numPr>
        <w:spacing w:line="360" w:lineRule="auto"/>
      </w:pPr>
      <w:r w:rsidRPr="0078661F">
        <w:t xml:space="preserve">report on irregularities and provide relevant information </w:t>
      </w:r>
      <w:r w:rsidR="00AE2E31" w:rsidRPr="0078661F">
        <w:t>on</w:t>
      </w:r>
      <w:r w:rsidRPr="0078661F">
        <w:t xml:space="preserve"> the request of the MA/JS with regard to control/audit issues; </w:t>
      </w:r>
    </w:p>
    <w:p w14:paraId="52EA3423" w14:textId="5DD1663B" w:rsidR="008754C9" w:rsidRPr="0078661F" w:rsidRDefault="008754C9" w:rsidP="003C58C0">
      <w:pPr>
        <w:pStyle w:val="ListParagraph"/>
        <w:numPr>
          <w:ilvl w:val="0"/>
          <w:numId w:val="18"/>
        </w:numPr>
        <w:spacing w:line="360" w:lineRule="auto"/>
      </w:pPr>
      <w:r w:rsidRPr="0078661F">
        <w:t>follow the FLC standards described in the General principles on First Level Control.</w:t>
      </w:r>
    </w:p>
    <w:p w14:paraId="76EDF9AF" w14:textId="1D75A8E4" w:rsidR="00067504" w:rsidRDefault="0033265D" w:rsidP="003C58C0">
      <w:pPr>
        <w:pStyle w:val="ListParagraph"/>
        <w:numPr>
          <w:ilvl w:val="0"/>
          <w:numId w:val="22"/>
        </w:numPr>
        <w:spacing w:line="360" w:lineRule="auto"/>
      </w:pPr>
      <w:r>
        <w:lastRenderedPageBreak/>
        <w:t>S</w:t>
      </w:r>
      <w:r w:rsidR="008754C9" w:rsidRPr="0078661F">
        <w:t>ubmit the filled-in Checklist with criteria for the approbation of the FLC to the Approbation Body one month before the end of the first reporting period at the latest.</w:t>
      </w:r>
    </w:p>
    <w:p w14:paraId="4A6742DF" w14:textId="77777777" w:rsidR="00067504" w:rsidRPr="00D04521" w:rsidRDefault="00067504" w:rsidP="003C58C0">
      <w:pPr>
        <w:pStyle w:val="ListParagraph"/>
        <w:spacing w:line="360" w:lineRule="auto"/>
      </w:pPr>
    </w:p>
    <w:p w14:paraId="63A58372" w14:textId="04470E33" w:rsidR="0078661F" w:rsidRDefault="001A7C11" w:rsidP="003C58C0">
      <w:pPr>
        <w:spacing w:line="360" w:lineRule="auto"/>
      </w:pPr>
      <w:r w:rsidRPr="0078661F">
        <w:t xml:space="preserve">Table 5 </w:t>
      </w:r>
      <w:r w:rsidR="008754C9" w:rsidRPr="0078661F">
        <w:t>First Level Control systems in the countries participating in the South Baltic Programme</w:t>
      </w:r>
    </w:p>
    <w:tbl>
      <w:tblPr>
        <w:tblStyle w:val="TableNormal1"/>
        <w:tblpPr w:leftFromText="180" w:rightFromText="180" w:vertAnchor="text" w:horzAnchor="margin" w:tblpY="305"/>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First Level Control systems in the countries participating in the South Baltic Programme"/>
        <w:tblDescription w:val="Denmark:&#10;• Type of system: decentralised First Level Control.&#10;• Designation of the controller: the partners have to propose an independent external controller, due to national legislation, to the bodies responsible for setting up the First Level Control system: Region Zealand or Regional Municipality of Bornholm. These two authorities will verify whether the controller is sufficiently independent from the project activities and finances and qualified to carry out the control of a project under the South Baltic Programme. The controller must be officially authorised by the relevant authorities before the first expenditure can be reported and confirmed. Contact information and a link to national guidance is available on the Programme website.&#10;• Costs of the First Level Control: can be reported as eligible external expertise costs in compliance with the relevant EU regulations and Programme rules.&#10;Germany&#10;• Type of system: decentralised First Level Control system.&#10;• Designation of the controller: project partners will choose a First Level Controller for the project specifically in compliance with national public procurement rules, who must be approbated by the National Approbation Body in compliance with the Programme provisions. The Ministry of Economics, Construction and Tourism Mecklenburg-Vorpommern designates the state-authorised public accountants in Germany as responsible for controlling the expenditure that will be declared by the project partners from Mecklenburg-Vorpommern. Project partners can use the public index of the German Chamber of Public Accountants www.wpk.dewww.wpk.de/wpvbp-verzeichnis/ to find state-authorised public accountants in their region. Contact information and a link to national guidance is available on the Programme website.&#10;• Costs of the First Level Control: can be reported as eligible external expertise costs in compliance with the relevant EU regulations and Programme rules.&#10;Lithuania&#10;• Type of system: decentralised First Level Control system.&#10;• Designation of the controller: the partners will choose a First Level controller in compliance with national public procurement rules and the national requirements for First Level Control, provided that the controller is certified. All partners and First Level controllers are obliged to follow the national requirements for First Level Control and public procurement rules in Lithuania, including the Programme rules. Before signing the service contracts for the first level control, the Ministry of the Interior will check if the controllers meet the set requirements. Contact information and a link to national guidance is available on the Programme website.&#10;• Costs of the First Level Control: can be reported as eligible external expertise costs in compliance with the relevant EU regulations, national requirements and Programme rules.&#10;Poland&#10;• Type of system: centralised First Level Control system.&#10;• Designation of the controller: the First Level Control is carried out by the Voivode Offices (‘urzędy wojewódzkie’). Zachodniopomorskie Voivodship (Szczecin), Pomorskie Voivodship (Gdańsk) and Warmińsko-Mazurskie Voivodship (Olsztyn) – partners will approach the geographically appropriate institution. Contact information and a link to national guidance is available on the Programme website.&#10;• Costs of the First Level Control: not relevant for the centralised First Level Control system.&#10;Sweden:&#10;• Type of system: centralised First Level Control system.&#10;• Designation of the controller: The Swedish government has appointed/designated a national level authority ‘Tillväxtverket’ – the Swedish Agency for Economic and Regional Growth. Contact information and a link to national guidance is available on the Programme website."/>
      </w:tblPr>
      <w:tblGrid>
        <w:gridCol w:w="2865"/>
        <w:gridCol w:w="6210"/>
      </w:tblGrid>
      <w:tr w:rsidR="0078661F" w:rsidRPr="001E7CD9" w14:paraId="13A7A30F" w14:textId="77777777" w:rsidTr="00DA4E94">
        <w:trPr>
          <w:trHeight w:val="608"/>
          <w:tblHeader/>
        </w:trPr>
        <w:tc>
          <w:tcPr>
            <w:tcW w:w="2865" w:type="dxa"/>
            <w:tcBorders>
              <w:left w:val="single" w:sz="12" w:space="0" w:color="003399"/>
              <w:bottom w:val="single" w:sz="12" w:space="0" w:color="003399"/>
              <w:right w:val="single" w:sz="12" w:space="0" w:color="003399"/>
            </w:tcBorders>
          </w:tcPr>
          <w:p w14:paraId="1AD76134" w14:textId="0124254B" w:rsidR="0078661F" w:rsidRPr="004736DC" w:rsidRDefault="0078661F" w:rsidP="003C58C0">
            <w:pPr>
              <w:pStyle w:val="TableParagraph"/>
              <w:spacing w:line="360" w:lineRule="auto"/>
            </w:pPr>
            <w:r w:rsidRPr="0078661F">
              <w:t>Programme Member</w:t>
            </w:r>
            <w:r w:rsidR="00067504">
              <w:t xml:space="preserve"> </w:t>
            </w:r>
            <w:r w:rsidRPr="0078661F">
              <w:t>State</w:t>
            </w:r>
          </w:p>
        </w:tc>
        <w:tc>
          <w:tcPr>
            <w:tcW w:w="6210" w:type="dxa"/>
            <w:tcBorders>
              <w:left w:val="single" w:sz="12" w:space="0" w:color="003399"/>
              <w:bottom w:val="single" w:sz="12" w:space="0" w:color="003399"/>
              <w:right w:val="single" w:sz="12" w:space="0" w:color="003399"/>
            </w:tcBorders>
          </w:tcPr>
          <w:p w14:paraId="53B8C6AE" w14:textId="5555C403" w:rsidR="0078661F" w:rsidRPr="004736DC" w:rsidRDefault="0078661F" w:rsidP="003C58C0">
            <w:pPr>
              <w:pStyle w:val="TableParagraph"/>
              <w:spacing w:line="360" w:lineRule="auto"/>
            </w:pPr>
            <w:r w:rsidRPr="0078661F">
              <w:t>First Level Control institutions</w:t>
            </w:r>
          </w:p>
        </w:tc>
      </w:tr>
      <w:tr w:rsidR="0078661F" w:rsidRPr="00805C22" w14:paraId="57C97603" w14:textId="77777777" w:rsidTr="00D04521">
        <w:trPr>
          <w:trHeight w:val="5270"/>
        </w:trPr>
        <w:tc>
          <w:tcPr>
            <w:tcW w:w="2865" w:type="dxa"/>
            <w:tcBorders>
              <w:top w:val="single" w:sz="12" w:space="0" w:color="003399"/>
              <w:left w:val="single" w:sz="12" w:space="0" w:color="003399"/>
              <w:bottom w:val="single" w:sz="12" w:space="0" w:color="003399"/>
              <w:right w:val="single" w:sz="12" w:space="0" w:color="003399"/>
            </w:tcBorders>
          </w:tcPr>
          <w:p w14:paraId="21272129" w14:textId="7D0CA6E9" w:rsidR="0078661F" w:rsidRPr="001E7CD9" w:rsidRDefault="0078661F" w:rsidP="003C58C0">
            <w:pPr>
              <w:pStyle w:val="TableParagraph"/>
              <w:spacing w:line="360" w:lineRule="auto"/>
              <w:rPr>
                <w:w w:val="105"/>
              </w:rPr>
            </w:pPr>
            <w:r w:rsidRPr="0078661F">
              <w:rPr>
                <w:w w:val="105"/>
              </w:rPr>
              <w:t>Denmark</w:t>
            </w:r>
          </w:p>
        </w:tc>
        <w:tc>
          <w:tcPr>
            <w:tcW w:w="6210" w:type="dxa"/>
            <w:tcBorders>
              <w:top w:val="single" w:sz="12" w:space="0" w:color="003399"/>
              <w:left w:val="single" w:sz="12" w:space="0" w:color="003399"/>
              <w:bottom w:val="single" w:sz="12" w:space="0" w:color="003399"/>
              <w:right w:val="single" w:sz="12" w:space="0" w:color="003399"/>
            </w:tcBorders>
            <w:vAlign w:val="center"/>
          </w:tcPr>
          <w:p w14:paraId="0D69E394" w14:textId="283A6B4E" w:rsidR="004807B7" w:rsidRPr="004807B7" w:rsidRDefault="0078661F" w:rsidP="003C58C0">
            <w:pPr>
              <w:pStyle w:val="TableParagraph"/>
              <w:spacing w:line="360" w:lineRule="auto"/>
            </w:pPr>
            <w:r w:rsidRPr="004807B7">
              <w:rPr>
                <w:rFonts w:ascii="Open Sans SemiBold" w:eastAsia="Open Sans SemiBold" w:hAnsi="Open Sans SemiBold" w:cs="Open Sans SemiBold"/>
                <w:bCs/>
                <w:color w:val="003399"/>
              </w:rPr>
              <w:t>Type of system:</w:t>
            </w:r>
            <w:r w:rsidRPr="004807B7">
              <w:t xml:space="preserve"> decentralised First Level Control.</w:t>
            </w:r>
          </w:p>
          <w:p w14:paraId="3868D719" w14:textId="64336A39" w:rsidR="004807B7" w:rsidRPr="004807B7" w:rsidRDefault="0078661F" w:rsidP="003C58C0">
            <w:pPr>
              <w:pStyle w:val="TableParagraph"/>
              <w:spacing w:line="360" w:lineRule="auto"/>
            </w:pPr>
            <w:r w:rsidRPr="004807B7">
              <w:rPr>
                <w:rFonts w:ascii="Open Sans SemiBold" w:eastAsia="Open Sans SemiBold" w:hAnsi="Open Sans SemiBold" w:cs="Open Sans SemiBold"/>
                <w:bCs/>
                <w:color w:val="003399"/>
              </w:rPr>
              <w:t>Designation of the controller:</w:t>
            </w:r>
            <w:r w:rsidRPr="004807B7">
              <w:t xml:space="preserve"> the partners have to propose an independent external controller, due to national legislation, to the bodies responsible for setting up the First Level Control system: Region Zealand or Regional Municipality of Bornholm. These two authorities will verify whether the controller is sufficiently independent from the project activities and finances and qualified to carry out the control of a project under the South Baltic Programme. The controller must be officially authorised by the relevant authorities before the first expenditure can be reported and confirmed. </w:t>
            </w:r>
          </w:p>
          <w:p w14:paraId="7FC7E26E" w14:textId="237EF336" w:rsidR="004807B7" w:rsidRPr="004807B7" w:rsidRDefault="0078661F" w:rsidP="003C58C0">
            <w:pPr>
              <w:pStyle w:val="TableParagraph"/>
              <w:spacing w:line="360" w:lineRule="auto"/>
              <w:rPr>
                <w:sz w:val="20"/>
                <w:szCs w:val="20"/>
              </w:rPr>
            </w:pPr>
            <w:r w:rsidRPr="004807B7">
              <w:rPr>
                <w:rFonts w:ascii="Open Sans SemiBold" w:eastAsia="Open Sans SemiBold" w:hAnsi="Open Sans SemiBold" w:cs="Open Sans SemiBold"/>
                <w:bCs/>
                <w:color w:val="003399"/>
                <w:sz w:val="20"/>
                <w:szCs w:val="20"/>
              </w:rPr>
              <w:t>Contact information</w:t>
            </w:r>
            <w:r w:rsidRPr="004807B7">
              <w:rPr>
                <w:sz w:val="20"/>
                <w:szCs w:val="20"/>
              </w:rPr>
              <w:t xml:space="preserve"> and a link to national guidance is available on the </w:t>
            </w:r>
            <w:hyperlink r:id="rId53" w:history="1">
              <w:hyperlink r:id="rId54" w:history="1">
                <w:r w:rsidR="00990868" w:rsidRPr="00C7145F">
                  <w:rPr>
                    <w:rFonts w:ascii="Open Sans ExtraBold"/>
                    <w:b/>
                    <w:color w:val="003399"/>
                    <w:spacing w:val="-2"/>
                    <w:sz w:val="20"/>
                  </w:rPr>
                  <w:t>Programme website</w:t>
                </w:r>
              </w:hyperlink>
              <w:r w:rsidR="00990868" w:rsidRPr="00C7145F">
                <w:rPr>
                  <w:sz w:val="20"/>
                  <w:szCs w:val="20"/>
                </w:rPr>
                <w:t>.</w:t>
              </w:r>
            </w:hyperlink>
          </w:p>
          <w:p w14:paraId="752FE9E6" w14:textId="533AFA10" w:rsidR="00067504" w:rsidRPr="004736DC" w:rsidRDefault="0078661F" w:rsidP="003C58C0">
            <w:pPr>
              <w:pStyle w:val="TableParagraph"/>
              <w:spacing w:line="360" w:lineRule="auto"/>
            </w:pPr>
            <w:r w:rsidRPr="004807B7">
              <w:rPr>
                <w:rFonts w:ascii="Open Sans SemiBold" w:eastAsia="Open Sans SemiBold" w:hAnsi="Open Sans SemiBold" w:cs="Open Sans SemiBold"/>
                <w:bCs/>
                <w:color w:val="003399"/>
              </w:rPr>
              <w:t>Costs of the First Level Control:</w:t>
            </w:r>
            <w:r w:rsidRPr="004807B7">
              <w:t xml:space="preserve"> can be reported as eligible external expertise costs in compliance with the relevant EU regulations and Programme rules</w:t>
            </w:r>
            <w:r w:rsidR="004807B7">
              <w:t>.</w:t>
            </w:r>
          </w:p>
        </w:tc>
      </w:tr>
      <w:tr w:rsidR="0078661F" w:rsidRPr="00805C22" w14:paraId="3F9D11C7" w14:textId="77777777" w:rsidTr="008331F6">
        <w:trPr>
          <w:trHeight w:val="6094"/>
        </w:trPr>
        <w:tc>
          <w:tcPr>
            <w:tcW w:w="2865" w:type="dxa"/>
            <w:tcBorders>
              <w:top w:val="single" w:sz="12" w:space="0" w:color="003399"/>
              <w:left w:val="single" w:sz="12" w:space="0" w:color="003399"/>
              <w:bottom w:val="single" w:sz="12" w:space="0" w:color="003399"/>
              <w:right w:val="single" w:sz="12" w:space="0" w:color="003399"/>
            </w:tcBorders>
          </w:tcPr>
          <w:p w14:paraId="66C13D5C" w14:textId="5878E20F" w:rsidR="0078661F" w:rsidRPr="001E7CD9" w:rsidRDefault="0078661F" w:rsidP="003C58C0">
            <w:pPr>
              <w:pStyle w:val="TableParagraph"/>
              <w:spacing w:line="360" w:lineRule="auto"/>
              <w:rPr>
                <w:w w:val="105"/>
              </w:rPr>
            </w:pPr>
            <w:r w:rsidRPr="0078661F">
              <w:rPr>
                <w:w w:val="105"/>
              </w:rPr>
              <w:lastRenderedPageBreak/>
              <w:t>Germany</w:t>
            </w:r>
          </w:p>
        </w:tc>
        <w:tc>
          <w:tcPr>
            <w:tcW w:w="6210" w:type="dxa"/>
            <w:tcBorders>
              <w:top w:val="single" w:sz="12" w:space="0" w:color="003399"/>
              <w:left w:val="single" w:sz="12" w:space="0" w:color="003399"/>
              <w:bottom w:val="single" w:sz="12" w:space="0" w:color="003399"/>
              <w:right w:val="single" w:sz="12" w:space="0" w:color="003399"/>
            </w:tcBorders>
          </w:tcPr>
          <w:p w14:paraId="7913D884" w14:textId="77777777" w:rsidR="00990868" w:rsidRPr="005C06A4" w:rsidRDefault="00990868" w:rsidP="003C58C0">
            <w:pPr>
              <w:pStyle w:val="TableParagraph"/>
              <w:spacing w:line="360" w:lineRule="auto"/>
            </w:pPr>
            <w:r w:rsidRPr="005C06A4">
              <w:rPr>
                <w:rFonts w:ascii="Open Sans SemiBold" w:eastAsia="Open Sans SemiBold" w:hAnsi="Open Sans SemiBold" w:cs="Open Sans SemiBold"/>
                <w:bCs/>
                <w:color w:val="003399"/>
              </w:rPr>
              <w:t>Type of system:</w:t>
            </w:r>
            <w:r w:rsidRPr="005C06A4">
              <w:t xml:space="preserve"> decentralised First Level Control system.</w:t>
            </w:r>
          </w:p>
          <w:p w14:paraId="2977B2B4" w14:textId="77777777" w:rsidR="00990868" w:rsidRPr="005C06A4" w:rsidRDefault="00990868" w:rsidP="003C58C0">
            <w:pPr>
              <w:pStyle w:val="TableParagraph"/>
              <w:spacing w:line="360" w:lineRule="auto"/>
            </w:pPr>
          </w:p>
          <w:p w14:paraId="139CF55D" w14:textId="77777777" w:rsidR="00067504" w:rsidRDefault="00990868" w:rsidP="003C58C0">
            <w:pPr>
              <w:pStyle w:val="TableParagraph"/>
              <w:spacing w:line="360" w:lineRule="auto"/>
            </w:pPr>
            <w:r w:rsidRPr="005C06A4">
              <w:rPr>
                <w:rFonts w:ascii="Open Sans SemiBold" w:eastAsia="Open Sans SemiBold" w:hAnsi="Open Sans SemiBold" w:cs="Open Sans SemiBold"/>
                <w:bCs/>
                <w:color w:val="003399"/>
              </w:rPr>
              <w:t>Designation of the controller:</w:t>
            </w:r>
            <w:r w:rsidRPr="005C06A4">
              <w:t xml:space="preserve"> project partners will choose a First Level Controller for the project specifically in compliance with national public procurement rules, who must be approbated by the National Approbation Body in compliance with the Programme provisions. </w:t>
            </w:r>
          </w:p>
          <w:p w14:paraId="68C74C70" w14:textId="77777777" w:rsidR="008331F6" w:rsidRDefault="008331F6" w:rsidP="003C58C0">
            <w:pPr>
              <w:pStyle w:val="TableParagraph"/>
              <w:spacing w:line="360" w:lineRule="auto"/>
            </w:pPr>
          </w:p>
          <w:p w14:paraId="32D4CEFC" w14:textId="754FDB4C" w:rsidR="00990868" w:rsidRPr="005C06A4" w:rsidRDefault="00990868" w:rsidP="003C58C0">
            <w:pPr>
              <w:pStyle w:val="TableParagraph"/>
              <w:spacing w:line="360" w:lineRule="auto"/>
            </w:pPr>
            <w:r w:rsidRPr="005C06A4">
              <w:t xml:space="preserve">The Ministry of Economics, Construction and Tourism Mecklenburg-Vorpommern designates the state-authorised public accountants in Germany as responsible for controlling the expenditure that will be declared by the project partners from Mecklenburg-Vorpommern. Project partners can use the public index of the German Chamber of Public Accountants </w:t>
            </w:r>
            <w:hyperlink r:id="rId55" w:history="1">
              <w:r w:rsidRPr="005C06A4">
                <w:t>www.wpk.de</w:t>
              </w:r>
            </w:hyperlink>
            <w:hyperlink r:id="rId56" w:history="1">
              <w:r w:rsidRPr="005C06A4">
                <w:t>www.wpk.de</w:t>
              </w:r>
            </w:hyperlink>
            <w:r w:rsidRPr="005C06A4">
              <w:t>/wpvbp-verzeichnis/    to find state-authorised public accountants in their region.</w:t>
            </w:r>
          </w:p>
          <w:p w14:paraId="123AEDAE" w14:textId="77777777" w:rsidR="00990868" w:rsidRPr="005C06A4" w:rsidRDefault="00990868" w:rsidP="003C58C0">
            <w:pPr>
              <w:pStyle w:val="TableParagraph"/>
              <w:spacing w:line="360" w:lineRule="auto"/>
            </w:pPr>
          </w:p>
          <w:p w14:paraId="615F0C42" w14:textId="4FEA604B" w:rsidR="00990868" w:rsidRDefault="00990868" w:rsidP="003C58C0">
            <w:pPr>
              <w:pStyle w:val="TableParagraph"/>
              <w:spacing w:line="360" w:lineRule="auto"/>
              <w:rPr>
                <w:szCs w:val="20"/>
              </w:rPr>
            </w:pPr>
            <w:r w:rsidRPr="005C06A4">
              <w:rPr>
                <w:rFonts w:ascii="Open Sans SemiBold" w:eastAsia="Open Sans SemiBold" w:hAnsi="Open Sans SemiBold" w:cs="Open Sans SemiBold"/>
                <w:bCs/>
                <w:color w:val="003399"/>
                <w:szCs w:val="20"/>
              </w:rPr>
              <w:t>Contact information</w:t>
            </w:r>
            <w:r w:rsidRPr="005C06A4">
              <w:rPr>
                <w:szCs w:val="20"/>
              </w:rPr>
              <w:t xml:space="preserve"> and a link to national guidance is available on the </w:t>
            </w:r>
            <w:hyperlink r:id="rId57" w:history="1">
              <w:r w:rsidR="005C06A4" w:rsidRPr="00C7145F">
                <w:rPr>
                  <w:rFonts w:ascii="Open Sans ExtraBold"/>
                  <w:b/>
                  <w:color w:val="003399"/>
                  <w:spacing w:val="-2"/>
                </w:rPr>
                <w:t>Programme website</w:t>
              </w:r>
            </w:hyperlink>
            <w:r w:rsidR="005C06A4" w:rsidRPr="00C7145F">
              <w:rPr>
                <w:szCs w:val="20"/>
              </w:rPr>
              <w:t>.</w:t>
            </w:r>
          </w:p>
          <w:p w14:paraId="43F896E7" w14:textId="77777777" w:rsidR="00990868" w:rsidRPr="005C06A4" w:rsidRDefault="00990868" w:rsidP="003C58C0">
            <w:pPr>
              <w:pStyle w:val="TableParagraph"/>
              <w:spacing w:line="360" w:lineRule="auto"/>
            </w:pPr>
          </w:p>
          <w:p w14:paraId="1E5BDE52" w14:textId="3785484D" w:rsidR="0078661F" w:rsidRPr="005C06A4" w:rsidRDefault="00990868" w:rsidP="003C58C0">
            <w:pPr>
              <w:pStyle w:val="TableParagraph"/>
              <w:spacing w:line="360" w:lineRule="auto"/>
            </w:pPr>
            <w:r w:rsidRPr="005C06A4">
              <w:rPr>
                <w:rFonts w:ascii="Open Sans SemiBold" w:eastAsia="Open Sans SemiBold" w:hAnsi="Open Sans SemiBold" w:cs="Open Sans SemiBold"/>
                <w:bCs/>
                <w:color w:val="003399"/>
              </w:rPr>
              <w:t>Costs of the First Level Control:</w:t>
            </w:r>
            <w:r w:rsidRPr="00990868">
              <w:t xml:space="preserve"> can be reported as eligible external expertise costs in compliance with the </w:t>
            </w:r>
            <w:r w:rsidRPr="00990868">
              <w:lastRenderedPageBreak/>
              <w:t>relevant EU regulations and Programme rules.</w:t>
            </w:r>
          </w:p>
        </w:tc>
      </w:tr>
      <w:tr w:rsidR="0078661F" w:rsidRPr="00805C22" w14:paraId="70AB9ADE" w14:textId="77777777" w:rsidTr="00067504">
        <w:trPr>
          <w:trHeight w:val="423"/>
        </w:trPr>
        <w:tc>
          <w:tcPr>
            <w:tcW w:w="2865" w:type="dxa"/>
            <w:tcBorders>
              <w:top w:val="single" w:sz="12" w:space="0" w:color="003399"/>
              <w:left w:val="single" w:sz="12" w:space="0" w:color="003399"/>
              <w:bottom w:val="single" w:sz="12" w:space="0" w:color="003399"/>
              <w:right w:val="single" w:sz="12" w:space="0" w:color="003399"/>
            </w:tcBorders>
          </w:tcPr>
          <w:p w14:paraId="07BFC667" w14:textId="2ABEE026" w:rsidR="0078661F" w:rsidRPr="001E7CD9" w:rsidRDefault="0078661F" w:rsidP="003C58C0">
            <w:pPr>
              <w:pStyle w:val="TableParagraph"/>
              <w:spacing w:line="360" w:lineRule="auto"/>
              <w:rPr>
                <w:w w:val="105"/>
              </w:rPr>
            </w:pPr>
            <w:r w:rsidRPr="0078661F">
              <w:rPr>
                <w:w w:val="105"/>
              </w:rPr>
              <w:lastRenderedPageBreak/>
              <w:t>Lithuania</w:t>
            </w:r>
          </w:p>
        </w:tc>
        <w:tc>
          <w:tcPr>
            <w:tcW w:w="6210" w:type="dxa"/>
            <w:tcBorders>
              <w:top w:val="single" w:sz="12" w:space="0" w:color="003399"/>
              <w:left w:val="single" w:sz="12" w:space="0" w:color="003399"/>
              <w:bottom w:val="single" w:sz="12" w:space="0" w:color="003399"/>
              <w:right w:val="single" w:sz="12" w:space="0" w:color="003399"/>
            </w:tcBorders>
          </w:tcPr>
          <w:p w14:paraId="62799E26" w14:textId="77777777" w:rsidR="00990868" w:rsidRDefault="00990868" w:rsidP="003C58C0">
            <w:pPr>
              <w:pStyle w:val="TableParagraph"/>
              <w:spacing w:line="360" w:lineRule="auto"/>
              <w:rPr>
                <w:rFonts w:ascii="Open Sans SemiBold" w:eastAsia="Open Sans SemiBold" w:hAnsi="Open Sans SemiBold" w:cs="Open Sans SemiBold"/>
                <w:bCs/>
                <w:color w:val="003399"/>
              </w:rPr>
            </w:pPr>
            <w:r w:rsidRPr="00990868">
              <w:rPr>
                <w:rFonts w:ascii="Open Sans SemiBold" w:eastAsia="Open Sans SemiBold" w:hAnsi="Open Sans SemiBold" w:cs="Open Sans SemiBold"/>
                <w:bCs/>
                <w:color w:val="003399"/>
              </w:rPr>
              <w:t xml:space="preserve">Type of system: </w:t>
            </w:r>
            <w:r w:rsidRPr="005C06A4">
              <w:t>decentralised First Level Control system.</w:t>
            </w:r>
          </w:p>
          <w:p w14:paraId="37FEC30E" w14:textId="77777777" w:rsidR="00990868" w:rsidRPr="00990868" w:rsidRDefault="00990868" w:rsidP="003C58C0">
            <w:pPr>
              <w:pStyle w:val="TableParagraph"/>
              <w:spacing w:line="360" w:lineRule="auto"/>
            </w:pPr>
          </w:p>
          <w:p w14:paraId="6EB4F23E" w14:textId="77777777" w:rsidR="00990868" w:rsidRDefault="00990868" w:rsidP="003C58C0">
            <w:pPr>
              <w:pStyle w:val="TableParagraph"/>
              <w:spacing w:line="360" w:lineRule="auto"/>
            </w:pPr>
            <w:r w:rsidRPr="00990868">
              <w:rPr>
                <w:rFonts w:ascii="Open Sans SemiBold" w:eastAsia="Open Sans SemiBold" w:hAnsi="Open Sans SemiBold" w:cs="Open Sans SemiBold"/>
                <w:bCs/>
                <w:color w:val="003399"/>
              </w:rPr>
              <w:t>Designation of the controller:</w:t>
            </w:r>
            <w:r w:rsidRPr="00990868">
              <w:rPr>
                <w:rFonts w:ascii="Segoe UI" w:eastAsiaTheme="minorHAnsi" w:hAnsi="Segoe UI" w:cs="Segoe UI"/>
                <w:lang w:val="en-GB"/>
              </w:rPr>
              <w:t xml:space="preserve"> </w:t>
            </w:r>
            <w:r w:rsidRPr="005C06A4">
              <w:t xml:space="preserve">the partners will choose a First Level controller in compliance with national public procurement rules and the national requirements for First Level Control, provided that the controller is certified. </w:t>
            </w:r>
          </w:p>
          <w:p w14:paraId="7BC31672" w14:textId="77777777" w:rsidR="008331F6" w:rsidRPr="005C06A4" w:rsidRDefault="008331F6" w:rsidP="003C58C0">
            <w:pPr>
              <w:pStyle w:val="TableParagraph"/>
              <w:spacing w:line="360" w:lineRule="auto"/>
            </w:pPr>
          </w:p>
          <w:p w14:paraId="2EBE1794" w14:textId="77777777" w:rsidR="00990868" w:rsidRPr="005C06A4" w:rsidRDefault="00990868" w:rsidP="003C58C0">
            <w:pPr>
              <w:pStyle w:val="TableParagraph"/>
              <w:spacing w:line="360" w:lineRule="auto"/>
            </w:pPr>
            <w:r w:rsidRPr="005C06A4">
              <w:t xml:space="preserve">All partners and First Level controllers are obliged to follow the national requirements for First Level Control and public procurement rules in Lithuania, including </w:t>
            </w:r>
            <w:r w:rsidRPr="005C06A4">
              <w:lastRenderedPageBreak/>
              <w:t>the Programme rules. Before signing the service contracts for the first level control, the Ministry of the Interior will check if the controllers meet the set requirements.</w:t>
            </w:r>
          </w:p>
          <w:p w14:paraId="44D88EF5" w14:textId="77777777" w:rsidR="00990868" w:rsidRPr="00990868" w:rsidRDefault="00990868" w:rsidP="003C58C0">
            <w:pPr>
              <w:pStyle w:val="TableParagraph"/>
              <w:spacing w:line="360" w:lineRule="auto"/>
              <w:rPr>
                <w:lang w:val="en-GB"/>
              </w:rPr>
            </w:pPr>
          </w:p>
          <w:p w14:paraId="4D9B67B3" w14:textId="493557E0" w:rsidR="00990868" w:rsidRDefault="00990868" w:rsidP="003C58C0">
            <w:pPr>
              <w:pStyle w:val="TableParagraph"/>
              <w:spacing w:line="360" w:lineRule="auto"/>
              <w:rPr>
                <w:szCs w:val="20"/>
              </w:rPr>
            </w:pPr>
            <w:r w:rsidRPr="00990868">
              <w:rPr>
                <w:rFonts w:ascii="Open Sans SemiBold" w:eastAsia="Open Sans SemiBold" w:hAnsi="Open Sans SemiBold" w:cs="Open Sans SemiBold"/>
                <w:bCs/>
                <w:color w:val="003399"/>
                <w:szCs w:val="20"/>
              </w:rPr>
              <w:t xml:space="preserve">Contact information </w:t>
            </w:r>
            <w:r w:rsidRPr="005C06A4">
              <w:rPr>
                <w:szCs w:val="20"/>
              </w:rPr>
              <w:t xml:space="preserve">and a link to national guidance is available on the </w:t>
            </w:r>
            <w:hyperlink r:id="rId58" w:history="1">
              <w:r w:rsidRPr="00C7145F">
                <w:rPr>
                  <w:rFonts w:ascii="Open Sans ExtraBold"/>
                  <w:b/>
                  <w:color w:val="003399"/>
                  <w:spacing w:val="-2"/>
                </w:rPr>
                <w:t>Programme website</w:t>
              </w:r>
            </w:hyperlink>
            <w:r w:rsidRPr="00C7145F">
              <w:rPr>
                <w:szCs w:val="20"/>
              </w:rPr>
              <w:t>.</w:t>
            </w:r>
          </w:p>
          <w:p w14:paraId="235AC461" w14:textId="77777777" w:rsidR="00990868" w:rsidRPr="00990868" w:rsidRDefault="00990868" w:rsidP="003C58C0">
            <w:pPr>
              <w:pStyle w:val="TableParagraph"/>
              <w:spacing w:line="360" w:lineRule="auto"/>
            </w:pPr>
          </w:p>
          <w:p w14:paraId="632B1F5A" w14:textId="49883B00" w:rsidR="0078661F" w:rsidRPr="004736DC" w:rsidRDefault="00990868" w:rsidP="003C58C0">
            <w:pPr>
              <w:pStyle w:val="TableParagraph"/>
              <w:spacing w:line="360" w:lineRule="auto"/>
            </w:pPr>
            <w:r w:rsidRPr="00990868">
              <w:rPr>
                <w:rFonts w:ascii="Open Sans SemiBold" w:eastAsia="Open Sans SemiBold" w:hAnsi="Open Sans SemiBold" w:cs="Open Sans SemiBold"/>
                <w:bCs/>
                <w:color w:val="003399"/>
              </w:rPr>
              <w:t xml:space="preserve">Costs of the First Level Control: </w:t>
            </w:r>
            <w:r w:rsidRPr="005C06A4">
              <w:t>can be reported as eligible external expertise costs in compliance with the relevant EU regulations, national requirements, and Programme rules.</w:t>
            </w:r>
          </w:p>
        </w:tc>
      </w:tr>
      <w:tr w:rsidR="0078661F" w:rsidRPr="00805C22" w14:paraId="649A3705" w14:textId="77777777" w:rsidTr="00067504">
        <w:trPr>
          <w:trHeight w:val="4024"/>
        </w:trPr>
        <w:tc>
          <w:tcPr>
            <w:tcW w:w="2865" w:type="dxa"/>
            <w:tcBorders>
              <w:top w:val="single" w:sz="12" w:space="0" w:color="003399"/>
              <w:left w:val="single" w:sz="12" w:space="0" w:color="003399"/>
              <w:bottom w:val="single" w:sz="12" w:space="0" w:color="003399"/>
              <w:right w:val="single" w:sz="12" w:space="0" w:color="003399"/>
            </w:tcBorders>
          </w:tcPr>
          <w:p w14:paraId="026135F5" w14:textId="0B7E053B" w:rsidR="0078661F" w:rsidRPr="001E7CD9" w:rsidRDefault="0078661F" w:rsidP="003C58C0">
            <w:pPr>
              <w:pStyle w:val="TableParagraph"/>
              <w:spacing w:line="360" w:lineRule="auto"/>
              <w:rPr>
                <w:w w:val="105"/>
              </w:rPr>
            </w:pPr>
            <w:r w:rsidRPr="0078661F">
              <w:rPr>
                <w:w w:val="105"/>
              </w:rPr>
              <w:lastRenderedPageBreak/>
              <w:t>Poland</w:t>
            </w:r>
          </w:p>
        </w:tc>
        <w:tc>
          <w:tcPr>
            <w:tcW w:w="6210" w:type="dxa"/>
            <w:tcBorders>
              <w:top w:val="single" w:sz="12" w:space="0" w:color="003399"/>
              <w:left w:val="single" w:sz="12" w:space="0" w:color="003399"/>
              <w:bottom w:val="single" w:sz="12" w:space="0" w:color="003399"/>
              <w:right w:val="single" w:sz="12" w:space="0" w:color="003399"/>
            </w:tcBorders>
          </w:tcPr>
          <w:p w14:paraId="6601B1C9" w14:textId="2329CD94" w:rsidR="005C06A4" w:rsidRDefault="005C06A4" w:rsidP="003C58C0">
            <w:pPr>
              <w:pStyle w:val="TableParagraph"/>
              <w:spacing w:line="360" w:lineRule="auto"/>
            </w:pPr>
            <w:r w:rsidRPr="005C06A4">
              <w:rPr>
                <w:rFonts w:ascii="Open Sans SemiBold" w:eastAsia="Open Sans SemiBold" w:hAnsi="Open Sans SemiBold" w:cs="Open Sans SemiBold"/>
                <w:bCs/>
                <w:color w:val="003399"/>
              </w:rPr>
              <w:t>Type of system:</w:t>
            </w:r>
            <w:r w:rsidRPr="005C06A4">
              <w:t xml:space="preserve"> centralised First Level Control system.</w:t>
            </w:r>
          </w:p>
          <w:p w14:paraId="5E1D3243" w14:textId="77777777" w:rsidR="005C06A4" w:rsidRPr="005C06A4" w:rsidRDefault="005C06A4" w:rsidP="003C58C0">
            <w:pPr>
              <w:pStyle w:val="TableParagraph"/>
              <w:spacing w:line="360" w:lineRule="auto"/>
            </w:pPr>
          </w:p>
          <w:p w14:paraId="6A0E6793" w14:textId="77777777" w:rsidR="005C06A4" w:rsidRDefault="005C06A4" w:rsidP="003C58C0">
            <w:pPr>
              <w:pStyle w:val="TableParagraph"/>
              <w:spacing w:line="360" w:lineRule="auto"/>
            </w:pPr>
            <w:r w:rsidRPr="005C06A4">
              <w:rPr>
                <w:rFonts w:ascii="Open Sans SemiBold" w:eastAsia="Open Sans SemiBold" w:hAnsi="Open Sans SemiBold" w:cs="Open Sans SemiBold"/>
                <w:bCs/>
                <w:color w:val="003399"/>
              </w:rPr>
              <w:t>Designation of the controller:</w:t>
            </w:r>
            <w:r w:rsidRPr="005C06A4">
              <w:t xml:space="preserve"> the First Level Control is carried out by the Voivode Offices (pl. ‘urzędy wojewódzkie’). Zachodniopomorskie Voivodship (Szczecin), Pomorskie Voivodship (Gdańsk) and Warmińsko-Mazurskie Voivodship (Olsztyn) – partners will approach the geographically appropriate institution. </w:t>
            </w:r>
          </w:p>
          <w:p w14:paraId="0AA15ABC" w14:textId="77777777" w:rsidR="005C06A4" w:rsidRPr="005C06A4" w:rsidRDefault="005C06A4" w:rsidP="003C58C0">
            <w:pPr>
              <w:pStyle w:val="TableParagraph"/>
              <w:spacing w:line="360" w:lineRule="auto"/>
            </w:pPr>
          </w:p>
          <w:p w14:paraId="294D5E72" w14:textId="28C7C594" w:rsidR="005C06A4" w:rsidRDefault="005C06A4" w:rsidP="003C58C0">
            <w:pPr>
              <w:pStyle w:val="TableParagraph"/>
              <w:spacing w:line="360" w:lineRule="auto"/>
              <w:rPr>
                <w:szCs w:val="20"/>
              </w:rPr>
            </w:pPr>
            <w:r w:rsidRPr="005C06A4">
              <w:rPr>
                <w:rFonts w:ascii="Open Sans SemiBold" w:eastAsia="Open Sans SemiBold" w:hAnsi="Open Sans SemiBold" w:cs="Open Sans SemiBold"/>
                <w:bCs/>
                <w:color w:val="003399"/>
                <w:szCs w:val="20"/>
              </w:rPr>
              <w:t>Contact information</w:t>
            </w:r>
            <w:r w:rsidRPr="005C06A4">
              <w:rPr>
                <w:szCs w:val="20"/>
              </w:rPr>
              <w:t xml:space="preserve"> and a link to national guidance is available on the </w:t>
            </w:r>
            <w:hyperlink r:id="rId59" w:history="1">
              <w:r w:rsidRPr="00C7145F">
                <w:rPr>
                  <w:rFonts w:ascii="Open Sans ExtraBold"/>
                  <w:b/>
                  <w:color w:val="003399"/>
                  <w:spacing w:val="-2"/>
                </w:rPr>
                <w:t>Programme website</w:t>
              </w:r>
            </w:hyperlink>
            <w:r w:rsidRPr="00C7145F">
              <w:rPr>
                <w:szCs w:val="20"/>
              </w:rPr>
              <w:t>.</w:t>
            </w:r>
          </w:p>
          <w:p w14:paraId="23388641" w14:textId="77777777" w:rsidR="005C06A4" w:rsidRPr="005C06A4" w:rsidRDefault="005C06A4" w:rsidP="003C58C0">
            <w:pPr>
              <w:pStyle w:val="TableParagraph"/>
              <w:spacing w:line="360" w:lineRule="auto"/>
            </w:pPr>
          </w:p>
          <w:p w14:paraId="665F9C7E" w14:textId="6786F568" w:rsidR="0078661F" w:rsidRPr="004736DC" w:rsidRDefault="005C06A4" w:rsidP="003C58C0">
            <w:pPr>
              <w:pStyle w:val="TableParagraph"/>
              <w:spacing w:line="360" w:lineRule="auto"/>
            </w:pPr>
            <w:r w:rsidRPr="005C06A4">
              <w:rPr>
                <w:rFonts w:ascii="Open Sans SemiBold" w:eastAsia="Open Sans SemiBold" w:hAnsi="Open Sans SemiBold" w:cs="Open Sans SemiBold"/>
                <w:bCs/>
                <w:color w:val="003399"/>
              </w:rPr>
              <w:lastRenderedPageBreak/>
              <w:t>Costs of the First Level Control:</w:t>
            </w:r>
            <w:r w:rsidRPr="005C06A4">
              <w:t xml:space="preserve"> not relevant for the centralised First Level Control system.</w:t>
            </w:r>
          </w:p>
        </w:tc>
      </w:tr>
      <w:tr w:rsidR="0078661F" w:rsidRPr="00805C22" w14:paraId="472E89DA" w14:textId="77777777" w:rsidTr="00067504">
        <w:trPr>
          <w:trHeight w:val="3412"/>
        </w:trPr>
        <w:tc>
          <w:tcPr>
            <w:tcW w:w="2865" w:type="dxa"/>
            <w:tcBorders>
              <w:top w:val="single" w:sz="12" w:space="0" w:color="003399"/>
              <w:left w:val="single" w:sz="12" w:space="0" w:color="003399"/>
              <w:bottom w:val="single" w:sz="12" w:space="0" w:color="003399"/>
              <w:right w:val="single" w:sz="12" w:space="0" w:color="003399"/>
            </w:tcBorders>
          </w:tcPr>
          <w:p w14:paraId="48F7A22B" w14:textId="76765B31" w:rsidR="0078661F" w:rsidRPr="0078661F" w:rsidRDefault="0078661F" w:rsidP="003C58C0">
            <w:pPr>
              <w:pStyle w:val="TableParagraph"/>
              <w:spacing w:line="360" w:lineRule="auto"/>
              <w:rPr>
                <w:w w:val="105"/>
              </w:rPr>
            </w:pPr>
            <w:r w:rsidRPr="0078661F">
              <w:rPr>
                <w:w w:val="105"/>
              </w:rPr>
              <w:lastRenderedPageBreak/>
              <w:t>Sweden</w:t>
            </w:r>
          </w:p>
        </w:tc>
        <w:tc>
          <w:tcPr>
            <w:tcW w:w="6210" w:type="dxa"/>
            <w:tcBorders>
              <w:top w:val="single" w:sz="12" w:space="0" w:color="003399"/>
              <w:left w:val="single" w:sz="12" w:space="0" w:color="003399"/>
              <w:bottom w:val="single" w:sz="12" w:space="0" w:color="003399"/>
              <w:right w:val="single" w:sz="12" w:space="0" w:color="003399"/>
            </w:tcBorders>
          </w:tcPr>
          <w:p w14:paraId="6AAEEC9E" w14:textId="77777777" w:rsidR="005C06A4" w:rsidRDefault="005C06A4" w:rsidP="003C58C0">
            <w:pPr>
              <w:pStyle w:val="TableParagraph"/>
              <w:spacing w:line="360" w:lineRule="auto"/>
            </w:pPr>
            <w:r w:rsidRPr="005C06A4">
              <w:rPr>
                <w:rFonts w:ascii="Open Sans SemiBold" w:eastAsia="Open Sans SemiBold" w:hAnsi="Open Sans SemiBold" w:cs="Open Sans SemiBold"/>
                <w:bCs/>
                <w:color w:val="003399"/>
              </w:rPr>
              <w:t>Type of system:</w:t>
            </w:r>
            <w:r w:rsidRPr="005C06A4">
              <w:t xml:space="preserve"> centralised First Level Control system.</w:t>
            </w:r>
          </w:p>
          <w:p w14:paraId="1084BE90" w14:textId="77777777" w:rsidR="005C06A4" w:rsidRPr="005C06A4" w:rsidRDefault="005C06A4" w:rsidP="003C58C0">
            <w:pPr>
              <w:pStyle w:val="TableParagraph"/>
              <w:spacing w:line="360" w:lineRule="auto"/>
            </w:pPr>
          </w:p>
          <w:p w14:paraId="53B847CF" w14:textId="77777777" w:rsidR="005C06A4" w:rsidRDefault="005C06A4" w:rsidP="003C58C0">
            <w:pPr>
              <w:pStyle w:val="TableParagraph"/>
              <w:spacing w:line="360" w:lineRule="auto"/>
            </w:pPr>
            <w:r w:rsidRPr="005C06A4">
              <w:rPr>
                <w:rFonts w:ascii="Open Sans SemiBold" w:eastAsia="Open Sans SemiBold" w:hAnsi="Open Sans SemiBold" w:cs="Open Sans SemiBold"/>
                <w:bCs/>
                <w:color w:val="003399"/>
              </w:rPr>
              <w:t>Designation of the controller:</w:t>
            </w:r>
            <w:r w:rsidRPr="005C06A4">
              <w:t xml:space="preserve"> The Swedish government has appointed/designated a national level authority ‘Tillväxtverket’ – the Swedish Agency for Economic and Regional Growth. </w:t>
            </w:r>
          </w:p>
          <w:p w14:paraId="4754B3CE" w14:textId="77777777" w:rsidR="005C06A4" w:rsidRPr="005C06A4" w:rsidRDefault="005C06A4" w:rsidP="003C58C0">
            <w:pPr>
              <w:pStyle w:val="TableParagraph"/>
              <w:spacing w:line="360" w:lineRule="auto"/>
            </w:pPr>
          </w:p>
          <w:p w14:paraId="5FA7B294" w14:textId="736316E9" w:rsidR="005C06A4" w:rsidRDefault="005C06A4" w:rsidP="003C58C0">
            <w:pPr>
              <w:pStyle w:val="TableParagraph"/>
              <w:spacing w:line="360" w:lineRule="auto"/>
              <w:rPr>
                <w:szCs w:val="20"/>
              </w:rPr>
            </w:pPr>
            <w:r w:rsidRPr="005C06A4">
              <w:rPr>
                <w:rFonts w:ascii="Open Sans SemiBold" w:eastAsia="Open Sans SemiBold" w:hAnsi="Open Sans SemiBold" w:cs="Open Sans SemiBold"/>
                <w:bCs/>
                <w:color w:val="003399"/>
                <w:szCs w:val="20"/>
              </w:rPr>
              <w:t>Contact information</w:t>
            </w:r>
            <w:r w:rsidRPr="005C06A4">
              <w:rPr>
                <w:szCs w:val="20"/>
              </w:rPr>
              <w:t xml:space="preserve"> and a link to national guidance is available on the </w:t>
            </w:r>
            <w:hyperlink r:id="rId60" w:history="1">
              <w:r w:rsidRPr="00C7145F">
                <w:rPr>
                  <w:rFonts w:ascii="Open Sans ExtraBold"/>
                  <w:b/>
                  <w:color w:val="003399"/>
                  <w:spacing w:val="-2"/>
                </w:rPr>
                <w:t>Programme website</w:t>
              </w:r>
            </w:hyperlink>
            <w:r w:rsidRPr="00C7145F">
              <w:rPr>
                <w:szCs w:val="20"/>
              </w:rPr>
              <w:t>.</w:t>
            </w:r>
          </w:p>
          <w:p w14:paraId="0E987AAB" w14:textId="77777777" w:rsidR="005C06A4" w:rsidRPr="005C06A4" w:rsidRDefault="005C06A4" w:rsidP="003C58C0">
            <w:pPr>
              <w:pStyle w:val="TableParagraph"/>
              <w:spacing w:line="360" w:lineRule="auto"/>
            </w:pPr>
          </w:p>
          <w:p w14:paraId="5F15175F" w14:textId="3F7AC490" w:rsidR="0078661F" w:rsidRPr="00C52D95" w:rsidRDefault="005C06A4" w:rsidP="003C58C0">
            <w:pPr>
              <w:pStyle w:val="TableParagraph"/>
              <w:spacing w:line="360" w:lineRule="auto"/>
            </w:pPr>
            <w:r w:rsidRPr="005C06A4">
              <w:rPr>
                <w:rFonts w:ascii="Open Sans SemiBold" w:eastAsia="Open Sans SemiBold" w:hAnsi="Open Sans SemiBold" w:cs="Open Sans SemiBold"/>
                <w:bCs/>
                <w:color w:val="003399"/>
              </w:rPr>
              <w:t>Costs of the First Level Control:</w:t>
            </w:r>
            <w:r w:rsidRPr="005C06A4">
              <w:t xml:space="preserve"> not relevant for the centralised First Level Control system.</w:t>
            </w:r>
          </w:p>
        </w:tc>
      </w:tr>
    </w:tbl>
    <w:p w14:paraId="13FE2790" w14:textId="77777777" w:rsidR="0078661F" w:rsidRDefault="0078661F" w:rsidP="003C58C0">
      <w:pPr>
        <w:spacing w:line="360" w:lineRule="auto"/>
      </w:pPr>
    </w:p>
    <w:p w14:paraId="24EE858B" w14:textId="77777777" w:rsidR="008754C9" w:rsidRPr="00DA4E94" w:rsidRDefault="008754C9"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The First Level controller verifies:</w:t>
      </w:r>
    </w:p>
    <w:p w14:paraId="6D85DBAB" w14:textId="690C66B9" w:rsidR="008754C9" w:rsidRPr="005C06A4" w:rsidRDefault="008331F6" w:rsidP="003C58C0">
      <w:pPr>
        <w:pStyle w:val="ListParagraph"/>
        <w:numPr>
          <w:ilvl w:val="0"/>
          <w:numId w:val="22"/>
        </w:numPr>
        <w:spacing w:line="360" w:lineRule="auto"/>
      </w:pPr>
      <w:r>
        <w:t>I</w:t>
      </w:r>
      <w:r w:rsidR="008754C9" w:rsidRPr="005C06A4">
        <w:t xml:space="preserve">f </w:t>
      </w:r>
      <w:r w:rsidR="00C128B8" w:rsidRPr="005C06A4">
        <w:t xml:space="preserve">the </w:t>
      </w:r>
      <w:r w:rsidR="008122ED" w:rsidRPr="005C06A4">
        <w:t>l</w:t>
      </w:r>
      <w:r w:rsidR="00D45EFF" w:rsidRPr="005C06A4">
        <w:t>ead partner</w:t>
      </w:r>
      <w:r w:rsidR="00C128B8" w:rsidRPr="005C06A4">
        <w:t xml:space="preserve"> </w:t>
      </w:r>
      <w:r w:rsidR="008754C9" w:rsidRPr="005C06A4">
        <w:t>has ensured that ERDF co-financing is transferred to the project partners according to the approved progress reports</w:t>
      </w:r>
      <w:r>
        <w:t>.</w:t>
      </w:r>
    </w:p>
    <w:p w14:paraId="43491579" w14:textId="407BF7E9" w:rsidR="008754C9" w:rsidRPr="005C06A4" w:rsidRDefault="008331F6" w:rsidP="003C58C0">
      <w:pPr>
        <w:pStyle w:val="ListParagraph"/>
        <w:numPr>
          <w:ilvl w:val="0"/>
          <w:numId w:val="22"/>
        </w:numPr>
        <w:spacing w:line="360" w:lineRule="auto"/>
      </w:pPr>
      <w:r>
        <w:lastRenderedPageBreak/>
        <w:t>I</w:t>
      </w:r>
      <w:r w:rsidR="008754C9" w:rsidRPr="005C06A4">
        <w:t>f the products and services co-financed have been delivered</w:t>
      </w:r>
      <w:r>
        <w:t>.</w:t>
      </w:r>
    </w:p>
    <w:p w14:paraId="65C9A197" w14:textId="667B616D" w:rsidR="008754C9" w:rsidRPr="005C06A4" w:rsidRDefault="008331F6" w:rsidP="003C58C0">
      <w:pPr>
        <w:pStyle w:val="ListParagraph"/>
        <w:numPr>
          <w:ilvl w:val="0"/>
          <w:numId w:val="22"/>
        </w:numPr>
        <w:spacing w:line="360" w:lineRule="auto"/>
      </w:pPr>
      <w:r>
        <w:t>If</w:t>
      </w:r>
      <w:r w:rsidR="008754C9" w:rsidRPr="005C06A4">
        <w:t xml:space="preserve"> expenditures declared by the partner are in line with the approved Application Form, the Subsidy Contract and the Partnership Agreement</w:t>
      </w:r>
      <w:r>
        <w:t>.</w:t>
      </w:r>
    </w:p>
    <w:p w14:paraId="03490782" w14:textId="1B26EF1A" w:rsidR="008754C9" w:rsidRPr="005C06A4" w:rsidRDefault="008331F6" w:rsidP="003C58C0">
      <w:pPr>
        <w:pStyle w:val="ListParagraph"/>
        <w:numPr>
          <w:ilvl w:val="0"/>
          <w:numId w:val="22"/>
        </w:numPr>
        <w:spacing w:line="360" w:lineRule="auto"/>
      </w:pPr>
      <w:r>
        <w:t>If</w:t>
      </w:r>
      <w:r w:rsidR="008754C9" w:rsidRPr="005C06A4">
        <w:t xml:space="preserve"> the expenditures are declared within the given flexibility limits</w:t>
      </w:r>
      <w:r>
        <w:t>.</w:t>
      </w:r>
    </w:p>
    <w:p w14:paraId="23B1BE0D" w14:textId="4BCE403D" w:rsidR="008754C9" w:rsidRPr="005C06A4" w:rsidRDefault="008331F6" w:rsidP="003C58C0">
      <w:pPr>
        <w:pStyle w:val="ListParagraph"/>
        <w:numPr>
          <w:ilvl w:val="0"/>
          <w:numId w:val="22"/>
        </w:numPr>
        <w:spacing w:line="360" w:lineRule="auto"/>
      </w:pPr>
      <w:r>
        <w:t>If</w:t>
      </w:r>
      <w:r w:rsidR="008754C9" w:rsidRPr="005C06A4">
        <w:t xml:space="preserve"> the partner progress report provides accurate information on the activity and financial progress of the project</w:t>
      </w:r>
      <w:r>
        <w:t>.</w:t>
      </w:r>
    </w:p>
    <w:p w14:paraId="74D4B890" w14:textId="3DDA8F99" w:rsidR="008754C9" w:rsidRPr="005C06A4" w:rsidRDefault="008331F6" w:rsidP="003C58C0">
      <w:pPr>
        <w:pStyle w:val="ListParagraph"/>
        <w:numPr>
          <w:ilvl w:val="0"/>
          <w:numId w:val="22"/>
        </w:numPr>
        <w:spacing w:line="360" w:lineRule="auto"/>
      </w:pPr>
      <w:r>
        <w:t>If</w:t>
      </w:r>
      <w:r w:rsidR="008754C9" w:rsidRPr="005C06A4">
        <w:t xml:space="preserve"> </w:t>
      </w:r>
      <w:r w:rsidR="00224849" w:rsidRPr="005C06A4">
        <w:t xml:space="preserve">the </w:t>
      </w:r>
      <w:r w:rsidR="008754C9" w:rsidRPr="005C06A4">
        <w:t>conditions for payments have been fulfilled for simplified cost options</w:t>
      </w:r>
      <w:r>
        <w:t>.</w:t>
      </w:r>
    </w:p>
    <w:p w14:paraId="1FB953DE" w14:textId="63077C16" w:rsidR="008754C9" w:rsidRPr="005C06A4" w:rsidRDefault="008331F6" w:rsidP="003C58C0">
      <w:pPr>
        <w:pStyle w:val="ListParagraph"/>
        <w:numPr>
          <w:ilvl w:val="0"/>
          <w:numId w:val="22"/>
        </w:numPr>
        <w:spacing w:line="360" w:lineRule="auto"/>
      </w:pPr>
      <w:r>
        <w:t>If</w:t>
      </w:r>
      <w:r w:rsidR="008754C9" w:rsidRPr="005C06A4">
        <w:t xml:space="preserve"> supporting documents for the partner progress report are available, complete and correct (if there are documents proving the expenditure invoices or other documents with equivalent value</w:t>
      </w:r>
      <w:r w:rsidR="005C06A4">
        <w:t xml:space="preserve"> </w:t>
      </w:r>
      <w:r w:rsidR="008754C9" w:rsidRPr="005C06A4">
        <w:t>of proof, bank account statements, delivery notes, copies of contracts with service contractors)</w:t>
      </w:r>
      <w:r>
        <w:t>.</w:t>
      </w:r>
    </w:p>
    <w:p w14:paraId="23D32053" w14:textId="71C2B1D3" w:rsidR="008754C9" w:rsidRPr="005C06A4" w:rsidRDefault="008331F6" w:rsidP="003C58C0">
      <w:pPr>
        <w:pStyle w:val="ListParagraph"/>
        <w:numPr>
          <w:ilvl w:val="0"/>
          <w:numId w:val="22"/>
        </w:numPr>
        <w:spacing w:line="360" w:lineRule="auto"/>
      </w:pPr>
      <w:r>
        <w:t>If</w:t>
      </w:r>
      <w:r w:rsidR="008754C9" w:rsidRPr="005C06A4">
        <w:t xml:space="preserve"> </w:t>
      </w:r>
      <w:r w:rsidR="00BD5160" w:rsidRPr="005C06A4">
        <w:t xml:space="preserve">the </w:t>
      </w:r>
      <w:r w:rsidR="008754C9" w:rsidRPr="005C06A4">
        <w:t>invoices and other financial documents with equivalent value of proof are correctly</w:t>
      </w:r>
      <w:r w:rsidR="005C06A4">
        <w:t xml:space="preserve"> </w:t>
      </w:r>
      <w:r w:rsidR="008754C9" w:rsidRPr="005C06A4">
        <w:t>described and whether they correspond with the expenditures paid out</w:t>
      </w:r>
      <w:r>
        <w:t>.</w:t>
      </w:r>
    </w:p>
    <w:p w14:paraId="758BDE3A" w14:textId="343666C7" w:rsidR="008754C9" w:rsidRPr="005C06A4" w:rsidRDefault="008331F6" w:rsidP="003C58C0">
      <w:pPr>
        <w:pStyle w:val="ListParagraph"/>
        <w:numPr>
          <w:ilvl w:val="0"/>
          <w:numId w:val="22"/>
        </w:numPr>
        <w:spacing w:line="360" w:lineRule="auto"/>
      </w:pPr>
      <w:r>
        <w:t>If</w:t>
      </w:r>
      <w:r w:rsidR="008754C9" w:rsidRPr="005C06A4">
        <w:t xml:space="preserve"> the expenditures are in line with </w:t>
      </w:r>
      <w:r w:rsidR="00BD5160" w:rsidRPr="005C06A4">
        <w:t xml:space="preserve">the </w:t>
      </w:r>
      <w:r w:rsidR="008754C9" w:rsidRPr="005C06A4">
        <w:t>eligibility rules for the Programme (in particular</w:t>
      </w:r>
      <w:r w:rsidR="00BD5160" w:rsidRPr="005C06A4">
        <w:t>,</w:t>
      </w:r>
      <w:r w:rsidR="008754C9" w:rsidRPr="005C06A4">
        <w:t xml:space="preserve"> whether the expenditures have been incurred within the eligibility period in relation to</w:t>
      </w:r>
      <w:r w:rsidR="00BD5160" w:rsidRPr="005C06A4">
        <w:t xml:space="preserve"> the</w:t>
      </w:r>
      <w:r w:rsidR="008754C9" w:rsidRPr="005C06A4">
        <w:t xml:space="preserve"> activities described in the Application Form, whether the national and community rules on eligibility of expenditures have been respected, </w:t>
      </w:r>
      <w:r w:rsidR="00BD5160" w:rsidRPr="005C06A4">
        <w:t xml:space="preserve">and </w:t>
      </w:r>
      <w:r w:rsidR="008754C9" w:rsidRPr="005C06A4">
        <w:t>double financing did not occur)</w:t>
      </w:r>
      <w:r>
        <w:t>.</w:t>
      </w:r>
    </w:p>
    <w:p w14:paraId="11D93B41" w14:textId="0E07FF97" w:rsidR="008754C9" w:rsidRPr="005C06A4" w:rsidRDefault="008331F6" w:rsidP="003C58C0">
      <w:pPr>
        <w:pStyle w:val="ListParagraph"/>
        <w:numPr>
          <w:ilvl w:val="0"/>
          <w:numId w:val="22"/>
        </w:numPr>
        <w:spacing w:line="360" w:lineRule="auto"/>
      </w:pPr>
      <w:r>
        <w:t>If</w:t>
      </w:r>
      <w:r w:rsidR="008754C9" w:rsidRPr="005C06A4">
        <w:t xml:space="preserve"> the expenditures are essential for </w:t>
      </w:r>
      <w:r w:rsidR="00BD5160" w:rsidRPr="005C06A4">
        <w:t xml:space="preserve">the </w:t>
      </w:r>
      <w:r w:rsidR="008754C9" w:rsidRPr="005C06A4">
        <w:t>project implementation and in compliance with the national and community rules (in particular</w:t>
      </w:r>
      <w:r w:rsidR="00BD5160" w:rsidRPr="005C06A4">
        <w:t>,</w:t>
      </w:r>
      <w:r w:rsidR="008754C9" w:rsidRPr="005C06A4">
        <w:t xml:space="preserve"> with public procurement and competitiveness, environment protection, </w:t>
      </w:r>
      <w:r w:rsidR="0000618F" w:rsidRPr="005C06A4">
        <w:t>S</w:t>
      </w:r>
      <w:r w:rsidR="008754C9" w:rsidRPr="005C06A4">
        <w:t xml:space="preserve">tate aid, equal opportunity and non-discrimination, </w:t>
      </w:r>
      <w:r w:rsidR="00BD5160" w:rsidRPr="005C06A4">
        <w:t>and the</w:t>
      </w:r>
      <w:r w:rsidR="008754C9" w:rsidRPr="005C06A4">
        <w:t xml:space="preserve"> publicity and information requirements described in the Programme Manual)</w:t>
      </w:r>
      <w:r>
        <w:t>.</w:t>
      </w:r>
    </w:p>
    <w:p w14:paraId="55C2DA8B" w14:textId="52FE2E7E" w:rsidR="008754C9" w:rsidRPr="005C06A4" w:rsidRDefault="008331F6" w:rsidP="003C58C0">
      <w:pPr>
        <w:pStyle w:val="ListParagraph"/>
        <w:numPr>
          <w:ilvl w:val="0"/>
          <w:numId w:val="22"/>
        </w:numPr>
        <w:spacing w:line="360" w:lineRule="auto"/>
      </w:pPr>
      <w:r>
        <w:lastRenderedPageBreak/>
        <w:t>If</w:t>
      </w:r>
      <w:r w:rsidR="008754C9" w:rsidRPr="005C06A4">
        <w:t xml:space="preserve"> the amounts of the expenditures are in line with sound financial management in particular with </w:t>
      </w:r>
      <w:r w:rsidR="00BD5160" w:rsidRPr="005C06A4">
        <w:t xml:space="preserve">the </w:t>
      </w:r>
      <w:r w:rsidR="008754C9" w:rsidRPr="005C06A4">
        <w:t>principles of economy, efficiency and effectiveness</w:t>
      </w:r>
      <w:r>
        <w:t>.</w:t>
      </w:r>
    </w:p>
    <w:p w14:paraId="2F46ED99" w14:textId="4DB09452" w:rsidR="008754C9" w:rsidRPr="005C06A4" w:rsidRDefault="008331F6" w:rsidP="003C58C0">
      <w:pPr>
        <w:pStyle w:val="ListParagraph"/>
        <w:numPr>
          <w:ilvl w:val="0"/>
          <w:numId w:val="22"/>
        </w:numPr>
        <w:spacing w:line="360" w:lineRule="auto"/>
      </w:pPr>
      <w:r>
        <w:t>If</w:t>
      </w:r>
      <w:r w:rsidR="008754C9" w:rsidRPr="005C06A4">
        <w:t xml:space="preserve"> a separate accounting system or adequate accounting code for all transactions relating to the project is maintained by the partner without prejudice to national accounting rules</w:t>
      </w:r>
      <w:r>
        <w:t>.</w:t>
      </w:r>
    </w:p>
    <w:p w14:paraId="58D99AB6" w14:textId="1ECC182E" w:rsidR="0060298F" w:rsidRDefault="008331F6" w:rsidP="0060298F">
      <w:pPr>
        <w:pStyle w:val="ListParagraph"/>
        <w:numPr>
          <w:ilvl w:val="0"/>
          <w:numId w:val="22"/>
        </w:numPr>
        <w:spacing w:line="360" w:lineRule="auto"/>
      </w:pPr>
      <w:r>
        <w:t>If</w:t>
      </w:r>
      <w:r w:rsidR="008754C9" w:rsidRPr="005C06A4">
        <w:t xml:space="preserve"> an adequate audit trail exists.</w:t>
      </w:r>
      <w:r w:rsidR="0060298F" w:rsidRPr="0060298F">
        <w:rPr>
          <w:noProof/>
        </w:rPr>
        <w:t xml:space="preserve"> </w:t>
      </w:r>
    </w:p>
    <w:p w14:paraId="74519E11" w14:textId="55D49EB6" w:rsidR="00EA0BF9" w:rsidRPr="00EA0BF9" w:rsidRDefault="0060298F" w:rsidP="0060298F">
      <w:pPr>
        <w:spacing w:line="360" w:lineRule="auto"/>
        <w:ind w:left="360"/>
      </w:pPr>
      <w:r>
        <w:rPr>
          <w:noProof/>
        </w:rPr>
        <mc:AlternateContent>
          <mc:Choice Requires="wps">
            <w:drawing>
              <wp:inline distT="0" distB="0" distL="0" distR="0" wp14:anchorId="66C33531" wp14:editId="69DC8452">
                <wp:extent cx="5772150" cy="2162175"/>
                <wp:effectExtent l="0" t="0" r="19050" b="28575"/>
                <wp:docPr id="950088679"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2162175"/>
                        </a:xfrm>
                        <a:prstGeom prst="rect">
                          <a:avLst/>
                        </a:prstGeom>
                        <a:ln w="12700">
                          <a:solidFill>
                            <a:srgbClr val="003399"/>
                          </a:solidFill>
                          <a:prstDash val="solid"/>
                        </a:ln>
                      </wps:spPr>
                      <wps:txbx>
                        <w:txbxContent>
                          <w:p w14:paraId="15EFFE30" w14:textId="77777777" w:rsidR="0060298F" w:rsidRPr="00DA4E94" w:rsidRDefault="0060298F" w:rsidP="0060298F">
                            <w:pPr>
                              <w:rPr>
                                <w:rFonts w:ascii="Open Sans ExtraBold" w:hAnsiTheme="minorHAnsi"/>
                                <w:b/>
                                <w:color w:val="003399"/>
                                <w:spacing w:val="-2"/>
                                <w:szCs w:val="28"/>
                              </w:rPr>
                            </w:pPr>
                            <w:r w:rsidRPr="00DA4E94">
                              <w:rPr>
                                <w:rFonts w:ascii="Open Sans ExtraBold" w:hAnsiTheme="minorHAnsi"/>
                                <w:b/>
                                <w:color w:val="003399"/>
                                <w:spacing w:val="-2"/>
                                <w:szCs w:val="28"/>
                              </w:rPr>
                              <w:t>NB:</w:t>
                            </w:r>
                          </w:p>
                          <w:p w14:paraId="32F73661"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According to Article 74 of Common Provisions Regulation, management verification shall be carried out based on the proportionate risk analysis prepared by the MA ex ante and in writing. </w:t>
                            </w:r>
                          </w:p>
                          <w:p w14:paraId="50EDF0E4"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It means that FLCs will focus their verifications on those reports where the risk of irregularities is high. </w:t>
                            </w:r>
                          </w:p>
                          <w:p w14:paraId="533F49DF"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 assessment of the risk is done by the FLC and is used for both: administrative verification and on-the-spot checks.</w:t>
                            </w:r>
                          </w:p>
                        </w:txbxContent>
                      </wps:txbx>
                      <wps:bodyPr wrap="square" lIns="0" tIns="0" rIns="0" bIns="0" rtlCol="0">
                        <a:noAutofit/>
                      </wps:bodyPr>
                    </wps:wsp>
                  </a:graphicData>
                </a:graphic>
              </wp:inline>
            </w:drawing>
          </mc:Choice>
          <mc:Fallback>
            <w:pict>
              <v:shape w14:anchorId="66C33531" id="_x0000_s1084" type="#_x0000_t202" style="width:454.5pt;height:17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" filled="f" strokecolor="#039" strokeweight="1pt">
                <v:path arrowok="t"/>
                <v:textbox inset="0,0,0,0">
                  <w:txbxContent>
                    <w:p w14:paraId="15EFFE30" w14:textId="77777777" w:rsidR="0060298F" w:rsidRPr="00DA4E94" w:rsidRDefault="0060298F" w:rsidP="0060298F">
                      <w:pPr>
                        <w:rPr>
                          <w:rFonts w:ascii="Open Sans ExtraBold" w:hAnsiTheme="minorHAnsi"/>
                          <w:b/>
                          <w:color w:val="003399"/>
                          <w:spacing w:val="-2"/>
                          <w:szCs w:val="28"/>
                        </w:rPr>
                      </w:pPr>
                      <w:r w:rsidRPr="00DA4E94">
                        <w:rPr>
                          <w:rFonts w:ascii="Open Sans ExtraBold" w:hAnsiTheme="minorHAnsi"/>
                          <w:b/>
                          <w:color w:val="003399"/>
                          <w:spacing w:val="-2"/>
                          <w:szCs w:val="28"/>
                        </w:rPr>
                        <w:t>NB:</w:t>
                      </w:r>
                    </w:p>
                    <w:p w14:paraId="32F73661"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According to Article 74 of Common Provisions Regulation, management verification shall be carried out based on the proportionate risk analysis prepared by the MA ex ante and in writing. </w:t>
                      </w:r>
                    </w:p>
                    <w:p w14:paraId="50EDF0E4"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It means that FLCs will focus their verifications on those reports where the risk of irregularities is high. </w:t>
                      </w:r>
                    </w:p>
                    <w:p w14:paraId="533F49DF"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 assessment of the risk is done by the FLC and is used for both: administrative verification and on-the-spot checks.</w:t>
                      </w:r>
                    </w:p>
                  </w:txbxContent>
                </v:textbox>
                <w10:anchorlock/>
              </v:shape>
            </w:pict>
          </mc:Fallback>
        </mc:AlternateContent>
      </w:r>
    </w:p>
    <w:p w14:paraId="14F3650C" w14:textId="6DBCAC01" w:rsidR="008754C9" w:rsidRPr="00DA4E94" w:rsidRDefault="008754C9"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 xml:space="preserve">Obligations of </w:t>
      </w:r>
      <w:r w:rsidR="001A760E" w:rsidRPr="00DA4E94">
        <w:rPr>
          <w:rFonts w:ascii="Open Sans SemiBold" w:eastAsia="Open Sans SemiBold" w:hAnsi="Open Sans SemiBold" w:cs="Open Sans SemiBold"/>
          <w:bCs/>
          <w:color w:val="003399"/>
          <w:szCs w:val="24"/>
        </w:rPr>
        <w:t xml:space="preserve">the </w:t>
      </w:r>
      <w:r w:rsidRPr="00DA4E94">
        <w:rPr>
          <w:rFonts w:ascii="Open Sans SemiBold" w:eastAsia="Open Sans SemiBold" w:hAnsi="Open Sans SemiBold" w:cs="Open Sans SemiBold"/>
          <w:bCs/>
          <w:color w:val="003399"/>
          <w:szCs w:val="24"/>
        </w:rPr>
        <w:t>project partners:</w:t>
      </w:r>
    </w:p>
    <w:p w14:paraId="5878412B" w14:textId="1B11F413" w:rsidR="008754C9" w:rsidRPr="00EA0BF9" w:rsidRDefault="008331F6" w:rsidP="003C58C0">
      <w:pPr>
        <w:pStyle w:val="ListParagraph"/>
        <w:numPr>
          <w:ilvl w:val="0"/>
          <w:numId w:val="22"/>
        </w:numPr>
        <w:spacing w:line="360" w:lineRule="auto"/>
      </w:pPr>
      <w:r>
        <w:t>C</w:t>
      </w:r>
      <w:r w:rsidR="008754C9" w:rsidRPr="00EA0BF9">
        <w:t xml:space="preserve">ontact the competent FLC body well in advance of the first Progress Report </w:t>
      </w:r>
      <w:r w:rsidR="00B7310E" w:rsidRPr="00EA0BF9">
        <w:t>to</w:t>
      </w:r>
      <w:r w:rsidR="008754C9" w:rsidRPr="00EA0BF9">
        <w:t xml:space="preserve"> clarify the schedule and concrete demands of the verification process</w:t>
      </w:r>
      <w:r>
        <w:t>.</w:t>
      </w:r>
    </w:p>
    <w:p w14:paraId="1868F739" w14:textId="0FCA5456" w:rsidR="008754C9" w:rsidRPr="00EA0BF9" w:rsidRDefault="008331F6" w:rsidP="003C58C0">
      <w:pPr>
        <w:pStyle w:val="ListParagraph"/>
        <w:numPr>
          <w:ilvl w:val="0"/>
          <w:numId w:val="22"/>
        </w:numPr>
        <w:spacing w:line="360" w:lineRule="auto"/>
      </w:pPr>
      <w:r>
        <w:t>P</w:t>
      </w:r>
      <w:r w:rsidR="008754C9" w:rsidRPr="00EA0BF9">
        <w:t>rovide the requested documents and explanations within the deadlines defined by the controller</w:t>
      </w:r>
      <w:r>
        <w:t>.</w:t>
      </w:r>
    </w:p>
    <w:p w14:paraId="41FF5B7C" w14:textId="340D5A32" w:rsidR="008331F6" w:rsidRDefault="008331F6" w:rsidP="003C58C0">
      <w:pPr>
        <w:pStyle w:val="ListParagraph"/>
        <w:numPr>
          <w:ilvl w:val="0"/>
          <w:numId w:val="22"/>
        </w:numPr>
        <w:spacing w:line="360" w:lineRule="auto"/>
      </w:pPr>
      <w:r>
        <w:t>S</w:t>
      </w:r>
      <w:r w:rsidR="008754C9" w:rsidRPr="00EA0BF9">
        <w:t>ubmit the report and the exchange of information with the FLC in CST2021</w:t>
      </w:r>
      <w:r>
        <w:t>.</w:t>
      </w:r>
    </w:p>
    <w:p w14:paraId="0E0BABFC" w14:textId="53581D99" w:rsidR="008754C9" w:rsidRPr="008331F6" w:rsidRDefault="008331F6" w:rsidP="003C58C0">
      <w:pPr>
        <w:pStyle w:val="ListParagraph"/>
        <w:numPr>
          <w:ilvl w:val="0"/>
          <w:numId w:val="22"/>
        </w:numPr>
        <w:spacing w:line="360" w:lineRule="auto"/>
      </w:pPr>
      <w:r>
        <w:t>I</w:t>
      </w:r>
      <w:r w:rsidR="008754C9" w:rsidRPr="008331F6">
        <w:t xml:space="preserve">nform the FLC </w:t>
      </w:r>
      <w:r w:rsidR="001A760E" w:rsidRPr="008331F6">
        <w:t xml:space="preserve">of </w:t>
      </w:r>
      <w:r w:rsidR="008754C9" w:rsidRPr="008331F6">
        <w:t xml:space="preserve">any results of verifications carried out by other control bodies that </w:t>
      </w:r>
      <w:r w:rsidR="001A760E" w:rsidRPr="008331F6">
        <w:t xml:space="preserve">concern the </w:t>
      </w:r>
      <w:r w:rsidR="008754C9" w:rsidRPr="008331F6">
        <w:t xml:space="preserve">project implementation and that may affect the work of the FLC, including the control results with regard to public </w:t>
      </w:r>
      <w:r w:rsidR="008754C9" w:rsidRPr="008331F6">
        <w:lastRenderedPageBreak/>
        <w:t>procurement (</w:t>
      </w:r>
      <w:r w:rsidR="0098375F" w:rsidRPr="008331F6">
        <w:t>see</w:t>
      </w:r>
      <w:r w:rsidR="009A5D0D" w:rsidRPr="008331F6">
        <w:t xml:space="preserve"> Chapter</w:t>
      </w:r>
      <w:r w:rsidR="00554CA9" w:rsidRPr="008331F6">
        <w:t xml:space="preserve"> IV, </w:t>
      </w:r>
      <w:r w:rsidR="009A5D0D" w:rsidRPr="008331F6">
        <w:t xml:space="preserve">Section </w:t>
      </w:r>
      <w:r w:rsidR="007F3A27" w:rsidRPr="008331F6">
        <w:t>7</w:t>
      </w:r>
      <w:r w:rsidR="009A5D0D" w:rsidRPr="008331F6">
        <w:t xml:space="preserve"> Competition and </w:t>
      </w:r>
      <w:r w:rsidR="00554CA9" w:rsidRPr="008331F6">
        <w:t>p</w:t>
      </w:r>
      <w:r w:rsidR="009A5D0D" w:rsidRPr="008331F6">
        <w:t xml:space="preserve">ublic </w:t>
      </w:r>
      <w:r w:rsidR="00554CA9" w:rsidRPr="008331F6">
        <w:t>p</w:t>
      </w:r>
      <w:r w:rsidR="009A5D0D" w:rsidRPr="008331F6">
        <w:t>rocurement</w:t>
      </w:r>
      <w:r w:rsidR="008754C9" w:rsidRPr="008331F6">
        <w:t>)</w:t>
      </w:r>
      <w:r>
        <w:t>.</w:t>
      </w:r>
    </w:p>
    <w:p w14:paraId="5D47840E" w14:textId="680DAE92" w:rsidR="008331F6" w:rsidRPr="008331F6" w:rsidRDefault="008331F6" w:rsidP="003C58C0">
      <w:pPr>
        <w:pStyle w:val="ListParagraph"/>
        <w:numPr>
          <w:ilvl w:val="0"/>
          <w:numId w:val="22"/>
        </w:numPr>
        <w:spacing w:line="360" w:lineRule="auto"/>
      </w:pPr>
      <w:r>
        <w:t>I</w:t>
      </w:r>
      <w:r w:rsidR="008754C9" w:rsidRPr="00EA0BF9">
        <w:t>mplement the recommendations issued by the controllers as a result of on-the-spot checks.</w:t>
      </w:r>
    </w:p>
    <w:p w14:paraId="37074CBA" w14:textId="77777777" w:rsidR="008754C9" w:rsidRPr="00DA4E94" w:rsidRDefault="008754C9" w:rsidP="003C58C0">
      <w:pPr>
        <w:spacing w:line="360" w:lineRule="auto"/>
        <w:rPr>
          <w:rFonts w:ascii="Open Sans SemiBold" w:eastAsia="Open Sans SemiBold" w:hAnsi="Open Sans SemiBold" w:cs="Open Sans SemiBold"/>
          <w:bCs/>
          <w:color w:val="003399"/>
          <w:szCs w:val="24"/>
        </w:rPr>
      </w:pPr>
      <w:r w:rsidRPr="00DA4E94">
        <w:rPr>
          <w:rFonts w:ascii="Open Sans SemiBold" w:eastAsia="Open Sans SemiBold" w:hAnsi="Open Sans SemiBold" w:cs="Open Sans SemiBold"/>
          <w:bCs/>
          <w:color w:val="003399"/>
          <w:szCs w:val="24"/>
        </w:rPr>
        <w:t>Complaints against the decision of the First Level Control</w:t>
      </w:r>
    </w:p>
    <w:p w14:paraId="2E174ED1" w14:textId="77777777"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Objections regarding the results of First Level Control, if envisaged, are examined based on the national solutions of the Programme Member State in which the project partner is seated:</w:t>
      </w:r>
    </w:p>
    <w:p w14:paraId="4F377A32" w14:textId="268BA8A6" w:rsidR="008754C9" w:rsidRPr="00EA0BF9" w:rsidRDefault="008754C9" w:rsidP="003C58C0">
      <w:pPr>
        <w:pStyle w:val="ListParagraph"/>
        <w:numPr>
          <w:ilvl w:val="0"/>
          <w:numId w:val="22"/>
        </w:numPr>
        <w:spacing w:line="360" w:lineRule="auto"/>
      </w:pPr>
      <w:r w:rsidRPr="00EA0BF9">
        <w:t xml:space="preserve">The Danish project partner may file objections regarding the results of verifications conducted by the First Level controller pursuant to </w:t>
      </w:r>
      <w:r w:rsidR="008A3E01" w:rsidRPr="00EA0BF9">
        <w:t xml:space="preserve">the </w:t>
      </w:r>
      <w:r w:rsidRPr="00EA0BF9">
        <w:t xml:space="preserve">provisions set in the service contract signed with the First Level controller. </w:t>
      </w:r>
    </w:p>
    <w:p w14:paraId="1E57BAF0" w14:textId="35A774F6" w:rsidR="008754C9" w:rsidRPr="00EA0BF9" w:rsidRDefault="008754C9" w:rsidP="003C58C0">
      <w:pPr>
        <w:pStyle w:val="ListParagraph"/>
        <w:numPr>
          <w:ilvl w:val="0"/>
          <w:numId w:val="22"/>
        </w:numPr>
        <w:spacing w:line="360" w:lineRule="auto"/>
      </w:pPr>
      <w:r w:rsidRPr="00EA0BF9">
        <w:t xml:space="preserve">The German project partners may file objections regarding the results of verifications conducted by the First Level controller pursuant to </w:t>
      </w:r>
      <w:r w:rsidR="008A3E01" w:rsidRPr="00EA0BF9">
        <w:t xml:space="preserve">the </w:t>
      </w:r>
      <w:r w:rsidRPr="00EA0BF9">
        <w:t>provisions set in the service contract signed with the First Level controller.</w:t>
      </w:r>
    </w:p>
    <w:p w14:paraId="26AB5CCF" w14:textId="7B7FDAE7" w:rsidR="008754C9" w:rsidRPr="00EA0BF9" w:rsidRDefault="008754C9" w:rsidP="003C58C0">
      <w:pPr>
        <w:pStyle w:val="ListParagraph"/>
        <w:numPr>
          <w:ilvl w:val="0"/>
          <w:numId w:val="22"/>
        </w:numPr>
        <w:spacing w:line="360" w:lineRule="auto"/>
      </w:pPr>
      <w:r w:rsidRPr="00EA0BF9">
        <w:t>The Lithuanian project partner may file objections regarding the results of verifications conducted by the First Level controller pursuant to</w:t>
      </w:r>
      <w:r w:rsidR="008A3E01" w:rsidRPr="00EA0BF9">
        <w:t xml:space="preserve"> the</w:t>
      </w:r>
      <w:r w:rsidRPr="00EA0BF9">
        <w:t xml:space="preserve"> provisions set in the service contract signed with the First Level controller. </w:t>
      </w:r>
    </w:p>
    <w:p w14:paraId="17143FF4" w14:textId="22B5909A" w:rsidR="008754C9" w:rsidRPr="00EA0BF9" w:rsidRDefault="008754C9" w:rsidP="003C58C0">
      <w:pPr>
        <w:pStyle w:val="ListParagraph"/>
        <w:numPr>
          <w:ilvl w:val="0"/>
          <w:numId w:val="22"/>
        </w:numPr>
        <w:spacing w:line="360" w:lineRule="auto"/>
      </w:pPr>
      <w:r w:rsidRPr="00EA0BF9">
        <w:t>The Polish project partner may file objections regarding the results of verifications conducted by the First Level controller pursuant to Article 27 of the Act on the rules for the implementation of tasks financed from European funds in the financial perspective 2021</w:t>
      </w:r>
      <w:r w:rsidR="006910EC" w:rsidRPr="00EA0BF9">
        <w:t>–</w:t>
      </w:r>
      <w:r w:rsidRPr="00EA0BF9">
        <w:t>2027.</w:t>
      </w:r>
    </w:p>
    <w:p w14:paraId="235CF520" w14:textId="28940035" w:rsidR="008754C9" w:rsidRDefault="00B20682" w:rsidP="003C58C0">
      <w:pPr>
        <w:pStyle w:val="ListParagraph"/>
        <w:numPr>
          <w:ilvl w:val="0"/>
          <w:numId w:val="22"/>
        </w:numPr>
        <w:spacing w:line="360" w:lineRule="auto"/>
      </w:pPr>
      <w:r w:rsidRPr="00EA0BF9">
        <w:t>The Swedish project partner may file objections regarding the results of verifications conducted by the First Level controller and ask for reassessment pursuant to Förvaltningslagen</w:t>
      </w:r>
      <w:r w:rsidR="00C32F77" w:rsidRPr="00EA0BF9">
        <w:t xml:space="preserve"> – </w:t>
      </w:r>
      <w:r w:rsidRPr="00EA0BF9">
        <w:t>The Administrative Procedure Act (2017:900), 36 – 38 §§</w:t>
      </w:r>
      <w:r w:rsidR="009E3953" w:rsidRPr="00EA0BF9">
        <w:t>.</w:t>
      </w:r>
    </w:p>
    <w:p w14:paraId="3216EBB6" w14:textId="7DC101C3" w:rsidR="00DA4E94" w:rsidRPr="00EA0BF9" w:rsidRDefault="00DA4E94" w:rsidP="003C58C0">
      <w:pPr>
        <w:spacing w:line="360" w:lineRule="auto"/>
      </w:pPr>
      <w:r>
        <w:rPr>
          <w:noProof/>
        </w:rPr>
        <w:lastRenderedPageBreak/>
        <mc:AlternateContent>
          <mc:Choice Requires="wps">
            <w:drawing>
              <wp:inline distT="0" distB="0" distL="0" distR="0" wp14:anchorId="706D906B" wp14:editId="37CF333A">
                <wp:extent cx="5772150" cy="962025"/>
                <wp:effectExtent l="0" t="0" r="19050" b="28575"/>
                <wp:docPr id="117574929"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962025"/>
                        </a:xfrm>
                        <a:prstGeom prst="rect">
                          <a:avLst/>
                        </a:prstGeom>
                        <a:ln w="12700">
                          <a:solidFill>
                            <a:srgbClr val="003399"/>
                          </a:solidFill>
                          <a:prstDash val="solid"/>
                        </a:ln>
                      </wps:spPr>
                      <wps:txbx>
                        <w:txbxContent>
                          <w:p w14:paraId="53D45B91" w14:textId="77777777" w:rsidR="00DA4E94" w:rsidRPr="00DA4E94" w:rsidRDefault="00DA4E94" w:rsidP="00DA4E94">
                            <w:pPr>
                              <w:pStyle w:val="BodyText"/>
                              <w:rPr>
                                <w:rFonts w:ascii="Open Sans" w:eastAsiaTheme="minorHAnsi" w:hAnsi="Open Sans" w:cstheme="minorBidi"/>
                                <w:color w:val="auto"/>
                                <w:sz w:val="24"/>
                                <w:szCs w:val="22"/>
                                <w:lang w:eastAsia="en-US"/>
                              </w:rPr>
                            </w:pPr>
                            <w:r w:rsidRPr="00DA4E94">
                              <w:rPr>
                                <w:rFonts w:ascii="Open Sans ExtraBold" w:eastAsiaTheme="minorHAnsi" w:hAnsiTheme="minorHAnsi" w:cstheme="minorBidi"/>
                                <w:b/>
                                <w:color w:val="003399"/>
                                <w:spacing w:val="-2"/>
                                <w:sz w:val="24"/>
                                <w:szCs w:val="28"/>
                                <w:lang w:eastAsia="en-US"/>
                              </w:rPr>
                              <w:t>NB</w:t>
                            </w:r>
                            <w:r w:rsidRPr="00DA4E94">
                              <w:rPr>
                                <w:rFonts w:ascii="Open Sans" w:eastAsiaTheme="minorHAnsi" w:hAnsi="Open Sans" w:cstheme="minorBidi"/>
                                <w:color w:val="auto"/>
                                <w:sz w:val="24"/>
                                <w:szCs w:val="22"/>
                                <w:lang w:eastAsia="en-US"/>
                              </w:rPr>
                              <w:t>:</w:t>
                            </w:r>
                          </w:p>
                          <w:p w14:paraId="14C9A4B7" w14:textId="55D1FCE8" w:rsidR="00DA4E94" w:rsidRPr="00DA4E94" w:rsidRDefault="00DA4E94" w:rsidP="00DA4E94">
                            <w:pPr>
                              <w:pStyle w:val="BodyText"/>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Managing Authority </w:t>
                            </w:r>
                            <w:r w:rsidRPr="00DA4E94">
                              <w:rPr>
                                <w:rFonts w:ascii="Open Sans SemiBold" w:eastAsia="Open Sans SemiBold" w:hAnsi="Open Sans SemiBold" w:cs="Open Sans SemiBold"/>
                                <w:bCs/>
                                <w:color w:val="003399"/>
                                <w:sz w:val="24"/>
                                <w:lang w:eastAsia="en-US"/>
                              </w:rPr>
                              <w:t>does not examine objections regarding the results</w:t>
                            </w:r>
                            <w:r w:rsidRPr="00DA4E94">
                              <w:rPr>
                                <w:rFonts w:ascii="Open Sans" w:eastAsia="Open Sans" w:hAnsi="Open Sans" w:cs="Open Sans"/>
                                <w:color w:val="auto"/>
                                <w:sz w:val="24"/>
                                <w:lang w:eastAsia="en-US"/>
                              </w:rPr>
                              <w:t xml:space="preserve"> </w:t>
                            </w:r>
                            <w:r w:rsidRPr="00DA4E94">
                              <w:rPr>
                                <w:rFonts w:ascii="Open Sans" w:eastAsiaTheme="minorHAnsi" w:hAnsi="Open Sans" w:cstheme="minorBidi"/>
                                <w:color w:val="auto"/>
                                <w:sz w:val="24"/>
                                <w:szCs w:val="22"/>
                                <w:lang w:eastAsia="en-US"/>
                              </w:rPr>
                              <w:t>of the First Level Control.</w:t>
                            </w:r>
                          </w:p>
                          <w:p w14:paraId="16C0CE8F" w14:textId="77777777" w:rsidR="00DA4E94" w:rsidRPr="00216E5C" w:rsidRDefault="00DA4E94" w:rsidP="00DA4E94">
                            <w:pPr>
                              <w:pStyle w:val="BodyText"/>
                              <w:rPr>
                                <w:rFonts w:eastAsia="Open Sans"/>
                              </w:rPr>
                            </w:pPr>
                          </w:p>
                        </w:txbxContent>
                      </wps:txbx>
                      <wps:bodyPr wrap="square" lIns="0" tIns="0" rIns="0" bIns="0" rtlCol="0">
                        <a:noAutofit/>
                      </wps:bodyPr>
                    </wps:wsp>
                  </a:graphicData>
                </a:graphic>
              </wp:inline>
            </w:drawing>
          </mc:Choice>
          <mc:Fallback>
            <w:pict>
              <v:shape w14:anchorId="706D906B" id="_x0000_s1085" type="#_x0000_t202" style="width:454.5pt;height: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" filled="f" strokecolor="#039" strokeweight="1pt">
                <v:path arrowok="t"/>
                <v:textbox inset="0,0,0,0">
                  <w:txbxContent>
                    <w:p w14:paraId="53D45B91" w14:textId="77777777" w:rsidR="00DA4E94" w:rsidRPr="00DA4E94" w:rsidRDefault="00DA4E94" w:rsidP="00DA4E94">
                      <w:pPr>
                        <w:pStyle w:val="BodyText"/>
                        <w:rPr>
                          <w:rFonts w:ascii="Open Sans" w:eastAsiaTheme="minorHAnsi" w:hAnsi="Open Sans" w:cstheme="minorBidi"/>
                          <w:color w:val="auto"/>
                          <w:sz w:val="24"/>
                          <w:szCs w:val="22"/>
                          <w:lang w:eastAsia="en-US"/>
                        </w:rPr>
                      </w:pPr>
                      <w:r w:rsidRPr="00DA4E94">
                        <w:rPr>
                          <w:rFonts w:ascii="Open Sans ExtraBold" w:eastAsiaTheme="minorHAnsi" w:hAnsiTheme="minorHAnsi" w:cstheme="minorBidi"/>
                          <w:b/>
                          <w:color w:val="003399"/>
                          <w:spacing w:val="-2"/>
                          <w:sz w:val="24"/>
                          <w:szCs w:val="28"/>
                          <w:lang w:eastAsia="en-US"/>
                        </w:rPr>
                        <w:t>NB</w:t>
                      </w:r>
                      <w:r w:rsidRPr="00DA4E94">
                        <w:rPr>
                          <w:rFonts w:ascii="Open Sans" w:eastAsiaTheme="minorHAnsi" w:hAnsi="Open Sans" w:cstheme="minorBidi"/>
                          <w:color w:val="auto"/>
                          <w:sz w:val="24"/>
                          <w:szCs w:val="22"/>
                          <w:lang w:eastAsia="en-US"/>
                        </w:rPr>
                        <w:t>:</w:t>
                      </w:r>
                    </w:p>
                    <w:p w14:paraId="14C9A4B7" w14:textId="55D1FCE8" w:rsidR="00DA4E94" w:rsidRPr="00DA4E94" w:rsidRDefault="00DA4E94" w:rsidP="00DA4E94">
                      <w:pPr>
                        <w:pStyle w:val="BodyText"/>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Managing Authority </w:t>
                      </w:r>
                      <w:r w:rsidRPr="00DA4E94">
                        <w:rPr>
                          <w:rFonts w:ascii="Open Sans SemiBold" w:eastAsia="Open Sans SemiBold" w:hAnsi="Open Sans SemiBold" w:cs="Open Sans SemiBold"/>
                          <w:bCs/>
                          <w:color w:val="003399"/>
                          <w:sz w:val="24"/>
                          <w:lang w:eastAsia="en-US"/>
                        </w:rPr>
                        <w:t>does not examine objections regarding the results</w:t>
                      </w:r>
                      <w:r w:rsidRPr="00DA4E94">
                        <w:rPr>
                          <w:rFonts w:ascii="Open Sans" w:eastAsia="Open Sans" w:hAnsi="Open Sans" w:cs="Open Sans"/>
                          <w:color w:val="auto"/>
                          <w:sz w:val="24"/>
                          <w:lang w:eastAsia="en-US"/>
                        </w:rPr>
                        <w:t xml:space="preserve"> </w:t>
                      </w:r>
                      <w:r w:rsidRPr="00DA4E94">
                        <w:rPr>
                          <w:rFonts w:ascii="Open Sans" w:eastAsiaTheme="minorHAnsi" w:hAnsi="Open Sans" w:cstheme="minorBidi"/>
                          <w:color w:val="auto"/>
                          <w:sz w:val="24"/>
                          <w:szCs w:val="22"/>
                          <w:lang w:eastAsia="en-US"/>
                        </w:rPr>
                        <w:t>of the First Level Control.</w:t>
                      </w:r>
                    </w:p>
                    <w:p w14:paraId="16C0CE8F" w14:textId="77777777" w:rsidR="00DA4E94" w:rsidRPr="00216E5C" w:rsidRDefault="00DA4E94" w:rsidP="00DA4E94">
                      <w:pPr>
                        <w:pStyle w:val="BodyText"/>
                        <w:rPr>
                          <w:rFonts w:eastAsia="Open Sans"/>
                        </w:rPr>
                      </w:pPr>
                    </w:p>
                  </w:txbxContent>
                </v:textbox>
                <w10:anchorlock/>
              </v:shape>
            </w:pict>
          </mc:Fallback>
        </mc:AlternateContent>
      </w:r>
    </w:p>
    <w:p w14:paraId="40348100" w14:textId="6019378B" w:rsidR="008754C9" w:rsidRDefault="001A7C11" w:rsidP="003C58C0">
      <w:pPr>
        <w:pStyle w:val="Heading3"/>
        <w:spacing w:line="360" w:lineRule="auto"/>
        <w:rPr>
          <w:rFonts w:ascii="Segoe UI" w:hAnsi="Segoe UI" w:cs="Segoe UI"/>
          <w:color w:val="1C4E6D"/>
          <w:lang w:val="en-GB"/>
        </w:rPr>
      </w:pPr>
      <w:bookmarkStart w:id="184" w:name="_Toc147242478"/>
      <w:r w:rsidRPr="00EA0BF9">
        <w:t>6</w:t>
      </w:r>
      <w:r w:rsidR="008754C9" w:rsidRPr="00EA0BF9">
        <w:t>.2 Second Level Control</w:t>
      </w:r>
      <w:bookmarkEnd w:id="184"/>
    </w:p>
    <w:p w14:paraId="3945B591" w14:textId="77777777"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 Programme Member States have appointed the joint Audit Authority, as well as the Group of Auditors (GoA) responsible for Second Level Control in the South Baltic Programme.</w:t>
      </w:r>
    </w:p>
    <w:p w14:paraId="425349FA" w14:textId="05355697" w:rsidR="008754C9" w:rsidRPr="00DA4E94" w:rsidRDefault="008A3E01"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functions </w:t>
      </w:r>
      <w:r w:rsidR="008754C9" w:rsidRPr="00DA4E94">
        <w:rPr>
          <w:rFonts w:ascii="Open Sans" w:eastAsiaTheme="minorHAnsi" w:hAnsi="Open Sans" w:cstheme="minorBidi"/>
          <w:color w:val="auto"/>
          <w:sz w:val="24"/>
          <w:szCs w:val="22"/>
          <w:lang w:eastAsia="en-US"/>
        </w:rPr>
        <w:t xml:space="preserve">of the Audit Authority </w:t>
      </w:r>
      <w:r w:rsidRPr="00DA4E94">
        <w:rPr>
          <w:rFonts w:ascii="Open Sans" w:eastAsiaTheme="minorHAnsi" w:hAnsi="Open Sans" w:cstheme="minorBidi"/>
          <w:color w:val="auto"/>
          <w:sz w:val="24"/>
          <w:szCs w:val="22"/>
          <w:lang w:eastAsia="en-US"/>
        </w:rPr>
        <w:t>are</w:t>
      </w:r>
      <w:r w:rsidR="008754C9" w:rsidRPr="00DA4E94">
        <w:rPr>
          <w:rFonts w:ascii="Open Sans" w:eastAsiaTheme="minorHAnsi" w:hAnsi="Open Sans" w:cstheme="minorBidi"/>
          <w:color w:val="auto"/>
          <w:sz w:val="24"/>
          <w:szCs w:val="22"/>
          <w:lang w:eastAsia="en-US"/>
        </w:rPr>
        <w:t xml:space="preserve"> described in art</w:t>
      </w:r>
      <w:r w:rsidR="002F50D8" w:rsidRPr="00DA4E94">
        <w:rPr>
          <w:rFonts w:ascii="Open Sans" w:eastAsiaTheme="minorHAnsi" w:hAnsi="Open Sans" w:cstheme="minorBidi"/>
          <w:color w:val="auto"/>
          <w:sz w:val="24"/>
          <w:szCs w:val="22"/>
          <w:lang w:eastAsia="en-US"/>
        </w:rPr>
        <w:t>icle</w:t>
      </w:r>
      <w:r w:rsidR="008754C9" w:rsidRPr="00DA4E94">
        <w:rPr>
          <w:rFonts w:ascii="Open Sans" w:eastAsiaTheme="minorHAnsi" w:hAnsi="Open Sans" w:cstheme="minorBidi"/>
          <w:color w:val="auto"/>
          <w:sz w:val="24"/>
          <w:szCs w:val="22"/>
          <w:lang w:eastAsia="en-US"/>
        </w:rPr>
        <w:t xml:space="preserve"> 48 of</w:t>
      </w:r>
      <w:r w:rsidR="002F50D8" w:rsidRPr="00DA4E94">
        <w:rPr>
          <w:rFonts w:ascii="Open Sans" w:eastAsiaTheme="minorHAnsi" w:hAnsi="Open Sans" w:cstheme="minorBidi"/>
          <w:color w:val="auto"/>
          <w:sz w:val="24"/>
          <w:szCs w:val="22"/>
          <w:lang w:eastAsia="en-US"/>
        </w:rPr>
        <w:t xml:space="preserve"> the</w:t>
      </w:r>
      <w:r w:rsidR="008754C9" w:rsidRPr="00DA4E94">
        <w:rPr>
          <w:rFonts w:ascii="Open Sans" w:eastAsiaTheme="minorHAnsi" w:hAnsi="Open Sans" w:cstheme="minorBidi"/>
          <w:color w:val="auto"/>
          <w:sz w:val="24"/>
          <w:szCs w:val="22"/>
          <w:lang w:eastAsia="en-US"/>
        </w:rPr>
        <w:t xml:space="preserve"> Interreg Regulation.</w:t>
      </w:r>
    </w:p>
    <w:p w14:paraId="1049CE8B" w14:textId="443A5585"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Audit Authority carries out audits based on </w:t>
      </w:r>
      <w:r w:rsidR="00D54CDC" w:rsidRPr="00DA4E94">
        <w:rPr>
          <w:rFonts w:ascii="Open Sans" w:eastAsiaTheme="minorHAnsi" w:hAnsi="Open Sans" w:cstheme="minorBidi"/>
          <w:color w:val="auto"/>
          <w:sz w:val="24"/>
          <w:szCs w:val="22"/>
          <w:lang w:eastAsia="en-US"/>
        </w:rPr>
        <w:t xml:space="preserve">a </w:t>
      </w:r>
      <w:r w:rsidRPr="00DA4E94">
        <w:rPr>
          <w:rFonts w:ascii="Open Sans" w:eastAsiaTheme="minorHAnsi" w:hAnsi="Open Sans" w:cstheme="minorBidi"/>
          <w:color w:val="auto"/>
          <w:sz w:val="24"/>
          <w:szCs w:val="22"/>
          <w:lang w:eastAsia="en-US"/>
        </w:rPr>
        <w:t xml:space="preserve">sample of projects selected by the </w:t>
      </w:r>
      <w:r w:rsidR="00E77CD6" w:rsidRPr="00DA4E94">
        <w:rPr>
          <w:rFonts w:ascii="Open Sans" w:eastAsiaTheme="minorHAnsi" w:hAnsi="Open Sans" w:cstheme="minorBidi"/>
          <w:color w:val="auto"/>
          <w:sz w:val="24"/>
          <w:szCs w:val="22"/>
          <w:lang w:eastAsia="en-US"/>
        </w:rPr>
        <w:t xml:space="preserve">EC </w:t>
      </w:r>
      <w:r w:rsidRPr="00DA4E94">
        <w:rPr>
          <w:rFonts w:ascii="Open Sans" w:eastAsiaTheme="minorHAnsi" w:hAnsi="Open Sans" w:cstheme="minorBidi"/>
          <w:color w:val="auto"/>
          <w:sz w:val="24"/>
          <w:szCs w:val="22"/>
          <w:lang w:eastAsia="en-US"/>
        </w:rPr>
        <w:t>according to article 49 of Interreg Regulation.</w:t>
      </w:r>
    </w:p>
    <w:p w14:paraId="7A857259" w14:textId="77777777"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It is the responsibility of the national auditor (a member of the GoA) to audit partners located on its territory. The audit might include both desk checks and on-the-spot checks.</w:t>
      </w:r>
    </w:p>
    <w:p w14:paraId="6C80C7F3" w14:textId="1B44EB24"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It is the duty of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and partners involved to provide </w:t>
      </w:r>
      <w:r w:rsidR="00D54CDC" w:rsidRPr="00DA4E94">
        <w:rPr>
          <w:rFonts w:ascii="Open Sans" w:eastAsiaTheme="minorHAnsi" w:hAnsi="Open Sans" w:cstheme="minorBidi"/>
          <w:color w:val="auto"/>
          <w:sz w:val="24"/>
          <w:szCs w:val="22"/>
          <w:lang w:eastAsia="en-US"/>
        </w:rPr>
        <w:t xml:space="preserve">any </w:t>
      </w:r>
      <w:r w:rsidRPr="00DA4E94">
        <w:rPr>
          <w:rFonts w:ascii="Open Sans" w:eastAsiaTheme="minorHAnsi" w:hAnsi="Open Sans" w:cstheme="minorBidi"/>
          <w:color w:val="auto"/>
          <w:sz w:val="24"/>
          <w:szCs w:val="22"/>
          <w:lang w:eastAsia="en-US"/>
        </w:rPr>
        <w:t xml:space="preserve">requested documentation and access to locations and premises during audits. </w:t>
      </w:r>
    </w:p>
    <w:p w14:paraId="7708EDEC" w14:textId="717C5DFA" w:rsidR="00EA0BF9" w:rsidRPr="00DA4E94" w:rsidRDefault="00AE2E31"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On </w:t>
      </w:r>
      <w:r w:rsidR="008754C9" w:rsidRPr="00DA4E94">
        <w:rPr>
          <w:rFonts w:ascii="Open Sans" w:eastAsiaTheme="minorHAnsi" w:hAnsi="Open Sans" w:cstheme="minorBidi"/>
          <w:color w:val="auto"/>
          <w:sz w:val="24"/>
          <w:szCs w:val="22"/>
          <w:lang w:eastAsia="en-US"/>
        </w:rPr>
        <w:t>the completion of the audit, each partner will receive a report</w:t>
      </w:r>
      <w:r w:rsidR="00D07B80" w:rsidRPr="00DA4E94">
        <w:rPr>
          <w:rFonts w:ascii="Open Sans" w:eastAsiaTheme="minorHAnsi" w:hAnsi="Open Sans" w:cstheme="minorBidi"/>
          <w:color w:val="auto"/>
          <w:sz w:val="24"/>
          <w:szCs w:val="22"/>
          <w:lang w:eastAsia="en-US"/>
        </w:rPr>
        <w:t>/</w:t>
      </w:r>
      <w:r w:rsidR="00EA0BF9" w:rsidRPr="00DA4E94">
        <w:rPr>
          <w:rFonts w:ascii="Open Sans" w:eastAsiaTheme="minorHAnsi" w:hAnsi="Open Sans" w:cstheme="minorBidi"/>
          <w:color w:val="auto"/>
          <w:sz w:val="24"/>
          <w:szCs w:val="22"/>
          <w:lang w:eastAsia="en-US"/>
        </w:rPr>
        <w:t xml:space="preserve"> </w:t>
      </w:r>
      <w:r w:rsidR="008754C9" w:rsidRPr="00DA4E94">
        <w:rPr>
          <w:rFonts w:ascii="Open Sans" w:eastAsiaTheme="minorHAnsi" w:hAnsi="Open Sans" w:cstheme="minorBidi"/>
          <w:color w:val="auto"/>
          <w:sz w:val="24"/>
          <w:szCs w:val="22"/>
          <w:lang w:eastAsia="en-US"/>
        </w:rPr>
        <w:t>minute</w:t>
      </w:r>
      <w:r w:rsidR="002F50D8" w:rsidRPr="00DA4E94">
        <w:rPr>
          <w:rFonts w:ascii="Open Sans" w:eastAsiaTheme="minorHAnsi" w:hAnsi="Open Sans" w:cstheme="minorBidi"/>
          <w:color w:val="auto"/>
          <w:sz w:val="24"/>
          <w:szCs w:val="22"/>
          <w:lang w:eastAsia="en-US"/>
        </w:rPr>
        <w:t>s</w:t>
      </w:r>
      <w:r w:rsidR="008754C9" w:rsidRPr="00DA4E94">
        <w:rPr>
          <w:rFonts w:ascii="Open Sans" w:eastAsiaTheme="minorHAnsi" w:hAnsi="Open Sans" w:cstheme="minorBidi"/>
          <w:color w:val="auto"/>
          <w:sz w:val="24"/>
          <w:szCs w:val="22"/>
          <w:lang w:eastAsia="en-US"/>
        </w:rPr>
        <w:t xml:space="preserve"> from the auditors. Each audited partner has the right not to approve the above document (as part of the contradictory procedure). The results of the audit performed are issued by the respective national auditor in the final version of audit report/minutes.</w:t>
      </w:r>
    </w:p>
    <w:p w14:paraId="7709E23E" w14:textId="4C77FCD1" w:rsidR="008754C9" w:rsidRPr="00EA0BF9" w:rsidRDefault="0060298F" w:rsidP="003C58C0">
      <w:pPr>
        <w:pStyle w:val="BodyText"/>
        <w:spacing w:line="360" w:lineRule="auto"/>
        <w:rPr>
          <w:rFonts w:eastAsia="Open Sans"/>
        </w:rPr>
      </w:pPr>
      <w:r w:rsidRPr="00DA4E94">
        <w:rPr>
          <w:rFonts w:ascii="Open Sans" w:eastAsiaTheme="minorHAnsi" w:hAnsi="Open Sans" w:cstheme="minorBidi"/>
          <w:noProof/>
          <w:color w:val="auto"/>
          <w:sz w:val="24"/>
          <w:szCs w:val="22"/>
          <w:lang w:eastAsia="en-US"/>
        </w:rPr>
        <w:lastRenderedPageBreak/>
        <mc:AlternateContent>
          <mc:Choice Requires="wps">
            <w:drawing>
              <wp:inline distT="0" distB="0" distL="0" distR="0" wp14:anchorId="322ABDC3" wp14:editId="2CBEA188">
                <wp:extent cx="5772150" cy="4019550"/>
                <wp:effectExtent l="0" t="0" r="19050" b="19050"/>
                <wp:docPr id="2123600486"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2150" cy="4019550"/>
                        </a:xfrm>
                        <a:prstGeom prst="rect">
                          <a:avLst/>
                        </a:prstGeom>
                        <a:ln w="12700">
                          <a:solidFill>
                            <a:srgbClr val="003399"/>
                          </a:solidFill>
                          <a:prstDash val="solid"/>
                        </a:ln>
                      </wps:spPr>
                      <wps:txbx>
                        <w:txbxContent>
                          <w:p w14:paraId="4E42FBB1" w14:textId="77777777" w:rsidR="0060298F" w:rsidRPr="00DA4E94" w:rsidRDefault="0060298F" w:rsidP="0060298F">
                            <w:pPr>
                              <w:pStyle w:val="BodyText"/>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NB: Audit in Poland</w:t>
                            </w:r>
                          </w:p>
                          <w:p w14:paraId="7ABE8ADE" w14:textId="77777777" w:rsidR="0060298F" w:rsidRPr="00DA4E94" w:rsidRDefault="0060298F" w:rsidP="0060298F">
                            <w:pPr>
                              <w:pStyle w:val="BodyText"/>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First Level Controllers are covered by the audit, while the audit activities are carried out both at the Voivode’s office as well as at the premises of project partners and at the project implementation site. After conducting audit activities, the auditor prepares:</w:t>
                            </w:r>
                          </w:p>
                          <w:p w14:paraId="7AE2511E"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A protocol (in accordance with Article 172 of the Act of 29 August 1997 Tax Ordinance), which the project partner receives for signature. The content of the protocol shows who, when, where and what activities were performed, who and in what capacity was present at them, what was established and how as a result of these activities, and what comments were made by the present persons. The protocol does not contain information on the identified non-eligible expenditure. The project partner has the option to refuse to sign the above-mentioned protocol.</w:t>
                            </w:r>
                          </w:p>
                          <w:p w14:paraId="574EF072"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 summary of the findings for the FLC. The document contains information on irregularities identified in the project and the amount of any ineligible costs. The FLC may raise objections to the above-mentioned findings (as part of the contradictory procedure).</w:t>
                            </w:r>
                          </w:p>
                          <w:p w14:paraId="0A6B2BB2" w14:textId="77777777" w:rsidR="0060298F" w:rsidRPr="00DA4E94" w:rsidRDefault="0060298F" w:rsidP="0060298F">
                            <w:pPr>
                              <w:pStyle w:val="BodyText"/>
                              <w:rPr>
                                <w:rFonts w:ascii="Open Sans" w:eastAsiaTheme="minorHAnsi" w:hAnsi="Open Sans" w:cstheme="minorBidi"/>
                                <w:color w:val="auto"/>
                                <w:sz w:val="24"/>
                                <w:szCs w:val="22"/>
                                <w:lang w:eastAsia="en-US"/>
                              </w:rPr>
                            </w:pPr>
                          </w:p>
                        </w:txbxContent>
                      </wps:txbx>
                      <wps:bodyPr wrap="square" lIns="0" tIns="0" rIns="0" bIns="0" rtlCol="0">
                        <a:noAutofit/>
                      </wps:bodyPr>
                    </wps:wsp>
                  </a:graphicData>
                </a:graphic>
              </wp:inline>
            </w:drawing>
          </mc:Choice>
          <mc:Fallback>
            <w:pict>
              <v:shape w14:anchorId="322ABDC3" id="_x0000_s1086" type="#_x0000_t202" style="width:454.5pt;height:3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" filled="f" strokecolor="#039" strokeweight="1pt">
                <v:path arrowok="t"/>
                <v:textbox inset="0,0,0,0">
                  <w:txbxContent>
                    <w:p w14:paraId="4E42FBB1" w14:textId="77777777" w:rsidR="0060298F" w:rsidRPr="00DA4E94" w:rsidRDefault="0060298F" w:rsidP="0060298F">
                      <w:pPr>
                        <w:pStyle w:val="BodyText"/>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NB: Audit in Poland</w:t>
                      </w:r>
                    </w:p>
                    <w:p w14:paraId="7ABE8ADE" w14:textId="77777777" w:rsidR="0060298F" w:rsidRPr="00DA4E94" w:rsidRDefault="0060298F" w:rsidP="0060298F">
                      <w:pPr>
                        <w:pStyle w:val="BodyText"/>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First Level Controllers are covered by the audit, while the audit activities are carried out both at the Voivode’s office as well as at the premises of project partners and at the project implementation site. After conducting audit activities, the auditor prepares:</w:t>
                      </w:r>
                    </w:p>
                    <w:p w14:paraId="7AE2511E"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A protocol (in accordance with Article 172 of the Act of 29 August 1997 Tax Ordinance), which the project partner receives for signature. The content of the protocol shows who, when, where and what activities were performed, who and in what capacity was present at them, what was established and how as a result of these activities, and what comments were made by the present persons. The protocol does not contain information on the identified non-eligible expenditure. The project partner has the option to refuse to sign the above-mentioned protocol.</w:t>
                      </w:r>
                    </w:p>
                    <w:p w14:paraId="574EF072" w14:textId="77777777" w:rsidR="0060298F" w:rsidRPr="00DA4E94" w:rsidRDefault="0060298F" w:rsidP="0060298F">
                      <w:pPr>
                        <w:pStyle w:val="BodyText"/>
                        <w:numPr>
                          <w:ilvl w:val="0"/>
                          <w:numId w:val="83"/>
                        </w:numPr>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The summary of the findings for the FLC. The document contains information on irregularities identified in the project and the amount of any ineligible costs. The FLC may raise objections to the above-mentioned findings (as part of the contradictory procedure).</w:t>
                      </w:r>
                    </w:p>
                    <w:p w14:paraId="0A6B2BB2" w14:textId="77777777" w:rsidR="0060298F" w:rsidRPr="00DA4E94" w:rsidRDefault="0060298F" w:rsidP="0060298F">
                      <w:pPr>
                        <w:pStyle w:val="BodyText"/>
                        <w:rPr>
                          <w:rFonts w:ascii="Open Sans" w:eastAsiaTheme="minorHAnsi" w:hAnsi="Open Sans" w:cstheme="minorBidi"/>
                          <w:color w:val="auto"/>
                          <w:sz w:val="24"/>
                          <w:szCs w:val="22"/>
                          <w:lang w:eastAsia="en-US"/>
                        </w:rPr>
                      </w:pPr>
                    </w:p>
                  </w:txbxContent>
                </v:textbox>
                <w10:anchorlock/>
              </v:shape>
            </w:pict>
          </mc:Fallback>
        </mc:AlternateContent>
      </w:r>
    </w:p>
    <w:p w14:paraId="51396A92" w14:textId="273AD011"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The Audit Authority gathers all the results from the audits carried </w:t>
      </w:r>
      <w:r w:rsidR="002019F2" w:rsidRPr="00DA4E94">
        <w:rPr>
          <w:rFonts w:ascii="Open Sans" w:eastAsiaTheme="minorHAnsi" w:hAnsi="Open Sans" w:cstheme="minorBidi"/>
          <w:color w:val="auto"/>
          <w:sz w:val="24"/>
          <w:szCs w:val="22"/>
          <w:lang w:eastAsia="en-US"/>
        </w:rPr>
        <w:t xml:space="preserve">out </w:t>
      </w:r>
      <w:r w:rsidRPr="00DA4E94">
        <w:rPr>
          <w:rFonts w:ascii="Open Sans" w:eastAsiaTheme="minorHAnsi" w:hAnsi="Open Sans" w:cstheme="minorBidi"/>
          <w:color w:val="auto"/>
          <w:sz w:val="24"/>
          <w:szCs w:val="22"/>
          <w:lang w:eastAsia="en-US"/>
        </w:rPr>
        <w:t>by</w:t>
      </w:r>
      <w:r w:rsidR="002019F2" w:rsidRPr="00DA4E94">
        <w:rPr>
          <w:rFonts w:ascii="Open Sans" w:eastAsiaTheme="minorHAnsi" w:hAnsi="Open Sans" w:cstheme="minorBidi"/>
          <w:color w:val="auto"/>
          <w:sz w:val="24"/>
          <w:szCs w:val="22"/>
          <w:lang w:eastAsia="en-US"/>
        </w:rPr>
        <w:t xml:space="preserve"> the</w:t>
      </w:r>
      <w:r w:rsidRPr="00DA4E94">
        <w:rPr>
          <w:rFonts w:ascii="Open Sans" w:eastAsiaTheme="minorHAnsi" w:hAnsi="Open Sans" w:cstheme="minorBidi"/>
          <w:color w:val="auto"/>
          <w:sz w:val="24"/>
          <w:szCs w:val="22"/>
          <w:lang w:eastAsia="en-US"/>
        </w:rPr>
        <w:t xml:space="preserve"> GoA members and issues the annual audit report including all irregularities detected in projects from the sample. </w:t>
      </w:r>
    </w:p>
    <w:p w14:paraId="22BA3B3B" w14:textId="42BA7369"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If the recovery of funds is necessary, the respective procedure is applied. The Managing Authority informs the </w:t>
      </w:r>
      <w:r w:rsidR="008122ED" w:rsidRPr="00DA4E94">
        <w:rPr>
          <w:rFonts w:ascii="Open Sans" w:eastAsiaTheme="minorHAnsi" w:hAnsi="Open Sans" w:cstheme="minorBidi"/>
          <w:color w:val="auto"/>
          <w:sz w:val="24"/>
          <w:szCs w:val="22"/>
          <w:lang w:eastAsia="en-US"/>
        </w:rPr>
        <w:t>l</w:t>
      </w:r>
      <w:r w:rsidR="00D45EFF" w:rsidRPr="00DA4E94">
        <w:rPr>
          <w:rFonts w:ascii="Open Sans" w:eastAsiaTheme="minorHAnsi" w:hAnsi="Open Sans" w:cstheme="minorBidi"/>
          <w:color w:val="auto"/>
          <w:sz w:val="24"/>
          <w:szCs w:val="22"/>
          <w:lang w:eastAsia="en-US"/>
        </w:rPr>
        <w:t>ead partner</w:t>
      </w:r>
      <w:r w:rsidRPr="00DA4E94">
        <w:rPr>
          <w:rFonts w:ascii="Open Sans" w:eastAsiaTheme="minorHAnsi" w:hAnsi="Open Sans" w:cstheme="minorBidi"/>
          <w:color w:val="auto"/>
          <w:sz w:val="24"/>
          <w:szCs w:val="22"/>
          <w:lang w:eastAsia="en-US"/>
        </w:rPr>
        <w:t xml:space="preserve"> in writing on the launch of the recovery process.</w:t>
      </w:r>
    </w:p>
    <w:p w14:paraId="5D7F1841" w14:textId="020CA67D"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Each project may be audited during or after the project lifetime. The Audit Authority may carry out additional audit work </w:t>
      </w:r>
      <w:r w:rsidR="00340C1A" w:rsidRPr="00DA4E94">
        <w:rPr>
          <w:rFonts w:ascii="Open Sans" w:eastAsiaTheme="minorHAnsi" w:hAnsi="Open Sans" w:cstheme="minorBidi"/>
          <w:color w:val="auto"/>
          <w:sz w:val="24"/>
          <w:szCs w:val="22"/>
          <w:lang w:eastAsia="en-US"/>
        </w:rPr>
        <w:t xml:space="preserve">at the </w:t>
      </w:r>
      <w:r w:rsidRPr="00DA4E94">
        <w:rPr>
          <w:rFonts w:ascii="Open Sans" w:eastAsiaTheme="minorHAnsi" w:hAnsi="Open Sans" w:cstheme="minorBidi"/>
          <w:color w:val="auto"/>
          <w:sz w:val="24"/>
          <w:szCs w:val="22"/>
          <w:lang w:eastAsia="en-US"/>
        </w:rPr>
        <w:t xml:space="preserve">demand of the </w:t>
      </w:r>
      <w:r w:rsidR="00E77CD6" w:rsidRPr="00DA4E94">
        <w:rPr>
          <w:rFonts w:ascii="Open Sans" w:eastAsiaTheme="minorHAnsi" w:hAnsi="Open Sans" w:cstheme="minorBidi"/>
          <w:color w:val="auto"/>
          <w:sz w:val="24"/>
          <w:szCs w:val="22"/>
          <w:lang w:eastAsia="en-US"/>
        </w:rPr>
        <w:t>EC</w:t>
      </w:r>
      <w:r w:rsidRPr="00DA4E94">
        <w:rPr>
          <w:rFonts w:ascii="Open Sans" w:eastAsiaTheme="minorHAnsi" w:hAnsi="Open Sans" w:cstheme="minorBidi"/>
          <w:color w:val="auto"/>
          <w:sz w:val="24"/>
          <w:szCs w:val="22"/>
          <w:lang w:eastAsia="en-US"/>
        </w:rPr>
        <w:t xml:space="preserve"> </w:t>
      </w:r>
      <w:r w:rsidR="00B7310E" w:rsidRPr="00DA4E94">
        <w:rPr>
          <w:rFonts w:ascii="Open Sans" w:eastAsiaTheme="minorHAnsi" w:hAnsi="Open Sans" w:cstheme="minorBidi"/>
          <w:color w:val="auto"/>
          <w:sz w:val="24"/>
          <w:szCs w:val="22"/>
          <w:lang w:eastAsia="en-US"/>
        </w:rPr>
        <w:t>to</w:t>
      </w:r>
      <w:r w:rsidRPr="00DA4E94">
        <w:rPr>
          <w:rFonts w:ascii="Open Sans" w:eastAsiaTheme="minorHAnsi" w:hAnsi="Open Sans" w:cstheme="minorBidi"/>
          <w:color w:val="auto"/>
          <w:sz w:val="24"/>
          <w:szCs w:val="22"/>
          <w:lang w:eastAsia="en-US"/>
        </w:rPr>
        <w:t xml:space="preserve"> further evaluate the error rate (if </w:t>
      </w:r>
      <w:r w:rsidR="00340C1A" w:rsidRPr="00DA4E94">
        <w:rPr>
          <w:rFonts w:ascii="Open Sans" w:eastAsiaTheme="minorHAnsi" w:hAnsi="Open Sans" w:cstheme="minorBidi"/>
          <w:color w:val="auto"/>
          <w:sz w:val="24"/>
          <w:szCs w:val="22"/>
          <w:lang w:eastAsia="en-US"/>
        </w:rPr>
        <w:t xml:space="preserve">one </w:t>
      </w:r>
      <w:r w:rsidRPr="00DA4E94">
        <w:rPr>
          <w:rFonts w:ascii="Open Sans" w:eastAsiaTheme="minorHAnsi" w:hAnsi="Open Sans" w:cstheme="minorBidi"/>
          <w:color w:val="auto"/>
          <w:sz w:val="24"/>
          <w:szCs w:val="22"/>
          <w:lang w:eastAsia="en-US"/>
        </w:rPr>
        <w:t>occurs) and assess the required corrective measures (article 49 of</w:t>
      </w:r>
      <w:r w:rsidR="00340C1A" w:rsidRPr="00DA4E94">
        <w:rPr>
          <w:rFonts w:ascii="Open Sans" w:eastAsiaTheme="minorHAnsi" w:hAnsi="Open Sans" w:cstheme="minorBidi"/>
          <w:color w:val="auto"/>
          <w:sz w:val="24"/>
          <w:szCs w:val="22"/>
          <w:lang w:eastAsia="en-US"/>
        </w:rPr>
        <w:t xml:space="preserve"> the</w:t>
      </w:r>
      <w:r w:rsidRPr="00DA4E94">
        <w:rPr>
          <w:rFonts w:ascii="Open Sans" w:eastAsiaTheme="minorHAnsi" w:hAnsi="Open Sans" w:cstheme="minorBidi"/>
          <w:color w:val="auto"/>
          <w:sz w:val="24"/>
          <w:szCs w:val="22"/>
          <w:lang w:eastAsia="en-US"/>
        </w:rPr>
        <w:t xml:space="preserve"> Interreg Regulation).</w:t>
      </w:r>
    </w:p>
    <w:p w14:paraId="6FD25CF0" w14:textId="1A53FDD8" w:rsidR="008754C9" w:rsidRPr="00DA4E94" w:rsidRDefault="008754C9" w:rsidP="003C58C0">
      <w:pPr>
        <w:pStyle w:val="BodyText"/>
        <w:spacing w:line="360" w:lineRule="auto"/>
        <w:rPr>
          <w:rFonts w:ascii="Open Sans" w:eastAsiaTheme="minorHAnsi" w:hAnsi="Open Sans" w:cstheme="minorBidi"/>
          <w:color w:val="auto"/>
          <w:sz w:val="24"/>
          <w:szCs w:val="22"/>
          <w:lang w:eastAsia="en-US"/>
        </w:rPr>
      </w:pPr>
      <w:r w:rsidRPr="00DA4E94">
        <w:rPr>
          <w:rFonts w:ascii="Open Sans" w:eastAsiaTheme="minorHAnsi" w:hAnsi="Open Sans" w:cstheme="minorBidi"/>
          <w:color w:val="auto"/>
          <w:sz w:val="24"/>
          <w:szCs w:val="22"/>
          <w:lang w:eastAsia="en-US"/>
        </w:rPr>
        <w:t xml:space="preserve">As a good </w:t>
      </w:r>
      <w:r w:rsidR="00340C1A" w:rsidRPr="00DA4E94">
        <w:rPr>
          <w:rFonts w:ascii="Open Sans" w:eastAsiaTheme="minorHAnsi" w:hAnsi="Open Sans" w:cstheme="minorBidi"/>
          <w:color w:val="auto"/>
          <w:sz w:val="24"/>
          <w:szCs w:val="22"/>
          <w:lang w:eastAsia="en-US"/>
        </w:rPr>
        <w:t xml:space="preserve">practice, </w:t>
      </w:r>
      <w:r w:rsidRPr="00DA4E94">
        <w:rPr>
          <w:rFonts w:ascii="Open Sans" w:eastAsiaTheme="minorHAnsi" w:hAnsi="Open Sans" w:cstheme="minorBidi"/>
          <w:color w:val="auto"/>
          <w:sz w:val="24"/>
          <w:szCs w:val="22"/>
          <w:lang w:eastAsia="en-US"/>
        </w:rPr>
        <w:t>FLCs may also assist partners when asked for help during the audits. This cooperation may be of crucial importance and has a positive impact on reduc</w:t>
      </w:r>
      <w:r w:rsidR="00340C1A" w:rsidRPr="00DA4E94">
        <w:rPr>
          <w:rFonts w:ascii="Open Sans" w:eastAsiaTheme="minorHAnsi" w:hAnsi="Open Sans" w:cstheme="minorBidi"/>
          <w:color w:val="auto"/>
          <w:sz w:val="24"/>
          <w:szCs w:val="22"/>
          <w:lang w:eastAsia="en-US"/>
        </w:rPr>
        <w:t>ing</w:t>
      </w:r>
      <w:r w:rsidRPr="00DA4E94">
        <w:rPr>
          <w:rFonts w:ascii="Open Sans" w:eastAsiaTheme="minorHAnsi" w:hAnsi="Open Sans" w:cstheme="minorBidi"/>
          <w:color w:val="auto"/>
          <w:sz w:val="24"/>
          <w:szCs w:val="22"/>
          <w:lang w:eastAsia="en-US"/>
        </w:rPr>
        <w:t xml:space="preserve"> </w:t>
      </w:r>
      <w:r w:rsidR="00340C1A" w:rsidRPr="00DA4E94">
        <w:rPr>
          <w:rFonts w:ascii="Open Sans" w:eastAsiaTheme="minorHAnsi" w:hAnsi="Open Sans" w:cstheme="minorBidi"/>
          <w:color w:val="auto"/>
          <w:sz w:val="24"/>
          <w:szCs w:val="22"/>
          <w:lang w:eastAsia="en-US"/>
        </w:rPr>
        <w:t xml:space="preserve">the </w:t>
      </w:r>
      <w:r w:rsidRPr="00DA4E94">
        <w:rPr>
          <w:rFonts w:ascii="Open Sans" w:eastAsiaTheme="minorHAnsi" w:hAnsi="Open Sans" w:cstheme="minorBidi"/>
          <w:color w:val="auto"/>
          <w:sz w:val="24"/>
          <w:szCs w:val="22"/>
          <w:lang w:eastAsia="en-US"/>
        </w:rPr>
        <w:t xml:space="preserve">Programme’s error rate. </w:t>
      </w:r>
    </w:p>
    <w:p w14:paraId="74444F88" w14:textId="1276E410" w:rsidR="008754C9" w:rsidRPr="00EA0BF9" w:rsidRDefault="001A7C11" w:rsidP="003C58C0">
      <w:pPr>
        <w:pStyle w:val="Heading3"/>
        <w:spacing w:line="360" w:lineRule="auto"/>
      </w:pPr>
      <w:bookmarkStart w:id="185" w:name="_Toc147242479"/>
      <w:r w:rsidRPr="00EA0BF9">
        <w:lastRenderedPageBreak/>
        <w:t>6</w:t>
      </w:r>
      <w:r w:rsidR="008754C9" w:rsidRPr="00EA0BF9">
        <w:t>.3 Irregularities</w:t>
      </w:r>
      <w:bookmarkEnd w:id="185"/>
    </w:p>
    <w:p w14:paraId="7BAC076B" w14:textId="6C94CB69" w:rsidR="008754C9" w:rsidRPr="00B1453C" w:rsidRDefault="008754C9" w:rsidP="003C58C0">
      <w:pPr>
        <w:spacing w:line="360" w:lineRule="auto"/>
        <w:rPr>
          <w:rFonts w:ascii="Segoe UI" w:hAnsi="Segoe UI" w:cs="Segoe UI"/>
          <w:lang w:val="en-GB"/>
        </w:rPr>
      </w:pPr>
      <w:r w:rsidRPr="00EA0BF9">
        <w:t>Detection of irregular expenditure may take place</w:t>
      </w:r>
      <w:r w:rsidR="00340C1A" w:rsidRPr="00EA0BF9">
        <w:t>,</w:t>
      </w:r>
      <w:r w:rsidRPr="00EA0BF9">
        <w:t xml:space="preserve"> inter alia:</w:t>
      </w:r>
    </w:p>
    <w:p w14:paraId="11A58D2F" w14:textId="24334226" w:rsidR="008754C9" w:rsidRPr="00EA0BF9" w:rsidRDefault="008331F6" w:rsidP="003C58C0">
      <w:pPr>
        <w:pStyle w:val="ListParagraph"/>
        <w:numPr>
          <w:ilvl w:val="0"/>
          <w:numId w:val="22"/>
        </w:numPr>
        <w:spacing w:line="360" w:lineRule="auto"/>
      </w:pPr>
      <w:r>
        <w:t>D</w:t>
      </w:r>
      <w:r w:rsidR="008754C9" w:rsidRPr="00EA0BF9">
        <w:t>uring the monitoring of the project implementation</w:t>
      </w:r>
      <w:r>
        <w:t>.</w:t>
      </w:r>
    </w:p>
    <w:p w14:paraId="1725FA8D" w14:textId="30945E1C" w:rsidR="008754C9" w:rsidRPr="00EA0BF9" w:rsidRDefault="008331F6" w:rsidP="003C58C0">
      <w:pPr>
        <w:pStyle w:val="ListParagraph"/>
        <w:numPr>
          <w:ilvl w:val="0"/>
          <w:numId w:val="22"/>
        </w:numPr>
        <w:spacing w:line="360" w:lineRule="auto"/>
      </w:pPr>
      <w:r>
        <w:t>D</w:t>
      </w:r>
      <w:r w:rsidR="008754C9" w:rsidRPr="00EA0BF9">
        <w:t>uring the financial verification of the project’s expenditure</w:t>
      </w:r>
      <w:r>
        <w:t>.</w:t>
      </w:r>
    </w:p>
    <w:p w14:paraId="2709A8B9" w14:textId="448ABE0D" w:rsidR="008754C9" w:rsidRPr="00EA0BF9" w:rsidRDefault="008331F6" w:rsidP="003C58C0">
      <w:pPr>
        <w:pStyle w:val="ListParagraph"/>
        <w:numPr>
          <w:ilvl w:val="0"/>
          <w:numId w:val="22"/>
        </w:numPr>
        <w:spacing w:line="360" w:lineRule="auto"/>
      </w:pPr>
      <w:r>
        <w:t>W</w:t>
      </w:r>
      <w:r w:rsidR="008754C9" w:rsidRPr="00EA0BF9">
        <w:t xml:space="preserve">ithin the durability period. </w:t>
      </w:r>
    </w:p>
    <w:p w14:paraId="389A8F35" w14:textId="04EA987C" w:rsidR="008754C9" w:rsidRPr="00EA0BF9" w:rsidRDefault="00340C1A" w:rsidP="003C58C0">
      <w:pPr>
        <w:spacing w:line="360" w:lineRule="auto"/>
      </w:pPr>
      <w:r w:rsidRPr="00EA0BF9">
        <w:t>I</w:t>
      </w:r>
      <w:r w:rsidR="008754C9" w:rsidRPr="00EA0BF9">
        <w:t>rregular expenditure may be detected</w:t>
      </w:r>
      <w:r w:rsidRPr="00EA0BF9">
        <w:t>,</w:t>
      </w:r>
      <w:r w:rsidR="008754C9" w:rsidRPr="00EA0BF9">
        <w:t xml:space="preserve"> in particular</w:t>
      </w:r>
      <w:r w:rsidRPr="00EA0BF9">
        <w:t>,</w:t>
      </w:r>
      <w:r w:rsidR="008754C9" w:rsidRPr="00EA0BF9">
        <w:t xml:space="preserve"> by the FLC, AA, MA, European Commission, Court of Auditors.</w:t>
      </w:r>
    </w:p>
    <w:p w14:paraId="1C74C178" w14:textId="36E8907C" w:rsidR="008754C9" w:rsidRPr="00EA0BF9" w:rsidRDefault="008754C9" w:rsidP="003C58C0">
      <w:pPr>
        <w:spacing w:line="360" w:lineRule="auto"/>
      </w:pPr>
      <w:r w:rsidRPr="00EA0BF9">
        <w:t>If irregular expenditure is detected, corrective measures will be undertaken by the Programme authorities. In accordance with Article 103 (1) of the Regulation (EU) No 2021/1060</w:t>
      </w:r>
      <w:r w:rsidR="000727BF" w:rsidRPr="00EA0BF9">
        <w:t xml:space="preserve"> (Common Provisions Regulation)</w:t>
      </w:r>
      <w:r w:rsidR="00340C1A" w:rsidRPr="00EA0BF9">
        <w:t>,</w:t>
      </w:r>
      <w:r w:rsidRPr="00EA0BF9">
        <w:t xml:space="preserve"> the financial correction will consist of cancelling all or part of the public contribution to </w:t>
      </w:r>
      <w:r w:rsidR="00340C1A" w:rsidRPr="00EA0BF9">
        <w:t xml:space="preserve">the </w:t>
      </w:r>
      <w:r w:rsidRPr="00EA0BF9">
        <w:t>project.</w:t>
      </w:r>
    </w:p>
    <w:p w14:paraId="462ECA92" w14:textId="730179EC" w:rsidR="008754C9" w:rsidRPr="00EA0BF9" w:rsidRDefault="008754C9" w:rsidP="003C58C0">
      <w:pPr>
        <w:spacing w:line="360" w:lineRule="auto"/>
      </w:pPr>
      <w:r w:rsidRPr="00EA0BF9">
        <w:t xml:space="preserve">With regard to the project in which there is </w:t>
      </w:r>
      <w:r w:rsidR="00340C1A" w:rsidRPr="00EA0BF9">
        <w:t xml:space="preserve">a </w:t>
      </w:r>
      <w:r w:rsidRPr="00EA0BF9">
        <w:t>need to correct expenditure before the project progress report is certified, the project partner may declare another eligible expenditure in place of the corrected expenditure.</w:t>
      </w:r>
    </w:p>
    <w:p w14:paraId="0C1E22CD" w14:textId="6902F744" w:rsidR="008754C9" w:rsidRPr="00EA0BF9" w:rsidRDefault="008754C9" w:rsidP="003C58C0">
      <w:pPr>
        <w:spacing w:line="360" w:lineRule="auto"/>
      </w:pPr>
      <w:r w:rsidRPr="00EA0BF9">
        <w:t xml:space="preserve">With regard to the project in which there is </w:t>
      </w:r>
      <w:r w:rsidR="00340C1A" w:rsidRPr="00EA0BF9">
        <w:t xml:space="preserve">a </w:t>
      </w:r>
      <w:r w:rsidRPr="00EA0BF9">
        <w:t>need to correct expenditure after a request for payment is certified, the project partner may not declare another eligible expenditure in place of the corrected expenditure.</w:t>
      </w:r>
    </w:p>
    <w:p w14:paraId="0E1C681D" w14:textId="02B30FCB" w:rsidR="00922DC1" w:rsidRPr="00EA0BF9" w:rsidRDefault="008754C9" w:rsidP="003C58C0">
      <w:pPr>
        <w:spacing w:line="360" w:lineRule="auto"/>
      </w:pPr>
      <w:r w:rsidRPr="00EA0BF9">
        <w:t xml:space="preserve">The </w:t>
      </w:r>
      <w:r w:rsidR="00922DC1" w:rsidRPr="00EA0BF9">
        <w:t>MA</w:t>
      </w:r>
      <w:r w:rsidRPr="00EA0BF9">
        <w:t xml:space="preserve"> conduct</w:t>
      </w:r>
      <w:r w:rsidR="00922DC1" w:rsidRPr="00EA0BF9">
        <w:t>s</w:t>
      </w:r>
      <w:r w:rsidRPr="00EA0BF9">
        <w:t xml:space="preserve"> the recovery of irregular expenditure based on the Subsidy Contract. </w:t>
      </w:r>
    </w:p>
    <w:p w14:paraId="306DC360" w14:textId="7A0EF067" w:rsidR="00922DC1" w:rsidRPr="00EA0BF9" w:rsidRDefault="00922DC1" w:rsidP="003C58C0">
      <w:pPr>
        <w:spacing w:line="360" w:lineRule="auto"/>
      </w:pPr>
      <w:r w:rsidRPr="00EA0BF9">
        <w:t xml:space="preserve">The MA waives the recovery of irregular expenditure if the amount due does not exceed 250 euro from the Programme funds to a project in an accounting year.  </w:t>
      </w:r>
    </w:p>
    <w:p w14:paraId="7B29CB31" w14:textId="59C68875" w:rsidR="008754C9" w:rsidRPr="00EA0BF9" w:rsidRDefault="008754C9" w:rsidP="003C58C0">
      <w:pPr>
        <w:spacing w:line="360" w:lineRule="auto"/>
      </w:pPr>
      <w:r w:rsidRPr="00EA0BF9">
        <w:t xml:space="preserve">A notice to return the funds (a call for payment) will contain all </w:t>
      </w:r>
      <w:r w:rsidR="00340C1A" w:rsidRPr="00EA0BF9">
        <w:t xml:space="preserve">the </w:t>
      </w:r>
      <w:r w:rsidRPr="00EA0BF9">
        <w:t>necessary technical information regarding the recovery. It will be issued either in paper format or electronically.</w:t>
      </w:r>
      <w:r w:rsidR="00C32F77" w:rsidRPr="00EA0BF9">
        <w:t xml:space="preserve"> </w:t>
      </w:r>
      <w:r w:rsidRPr="00EA0BF9">
        <w:t>The addressee will be asked to confirm the receipt of the call for payment.</w:t>
      </w:r>
    </w:p>
    <w:p w14:paraId="09A6721B" w14:textId="20D605D1" w:rsidR="004136D9" w:rsidRPr="00EA0BF9" w:rsidRDefault="008754C9" w:rsidP="003C58C0">
      <w:pPr>
        <w:spacing w:line="360" w:lineRule="auto"/>
      </w:pPr>
      <w:r w:rsidRPr="00EA0BF9">
        <w:lastRenderedPageBreak/>
        <w:t>Irregularities detected at the Programme level may result</w:t>
      </w:r>
      <w:r w:rsidR="00340C1A" w:rsidRPr="00EA0BF9">
        <w:t>,</w:t>
      </w:r>
      <w:r w:rsidRPr="00EA0BF9">
        <w:t xml:space="preserve"> as a consequence</w:t>
      </w:r>
      <w:r w:rsidR="00340C1A" w:rsidRPr="00EA0BF9">
        <w:t>,</w:t>
      </w:r>
      <w:r w:rsidRPr="00EA0BF9">
        <w:t xml:space="preserve"> in financial corrections or </w:t>
      </w:r>
      <w:r w:rsidR="00340C1A" w:rsidRPr="00EA0BF9">
        <w:t xml:space="preserve">the </w:t>
      </w:r>
      <w:r w:rsidRPr="00EA0BF9">
        <w:t>suspension of payments f</w:t>
      </w:r>
      <w:r w:rsidR="0082469A" w:rsidRPr="00EA0BF9">
        <w:t>rom</w:t>
      </w:r>
      <w:r w:rsidRPr="00EA0BF9">
        <w:t xml:space="preserve"> the Programme. </w:t>
      </w:r>
      <w:r w:rsidR="00340C1A" w:rsidRPr="00EA0BF9">
        <w:t>If</w:t>
      </w:r>
      <w:r w:rsidRPr="00EA0BF9">
        <w:t xml:space="preserve"> the suspension of payments is imposed by the EC at the Programme level, the overall liquidity of the Programme is affected. This may significantly reduce the available support to beneficiaries. The MA/JS will do its utmost to clarify the issue with the EC and to lift the suspension of payment. Nevertheless, this might lead to the suspension of payments </w:t>
      </w:r>
      <w:r w:rsidR="00340C1A" w:rsidRPr="00EA0BF9">
        <w:t xml:space="preserve">at the </w:t>
      </w:r>
      <w:r w:rsidRPr="00EA0BF9">
        <w:t xml:space="preserve">project level, depending on the availability of funds </w:t>
      </w:r>
      <w:r w:rsidR="00340C1A" w:rsidRPr="00EA0BF9">
        <w:t xml:space="preserve">in </w:t>
      </w:r>
      <w:r w:rsidRPr="00EA0BF9">
        <w:t xml:space="preserve">the Programme accounts. The National authority and the </w:t>
      </w:r>
      <w:r w:rsidR="008122ED" w:rsidRPr="00EA0BF9">
        <w:t>lead partners</w:t>
      </w:r>
      <w:r w:rsidRPr="00EA0BF9">
        <w:t xml:space="preserve"> through </w:t>
      </w:r>
      <w:r w:rsidR="00340C1A" w:rsidRPr="00EA0BF9">
        <w:t xml:space="preserve">the </w:t>
      </w:r>
      <w:r w:rsidRPr="00EA0BF9">
        <w:t xml:space="preserve">MA/JS will be informed in all cases </w:t>
      </w:r>
      <w:r w:rsidR="00340C1A" w:rsidRPr="00EA0BF9">
        <w:t xml:space="preserve">if </w:t>
      </w:r>
      <w:r w:rsidRPr="00EA0BF9">
        <w:t>an impact at the project level is inevitable.</w:t>
      </w:r>
    </w:p>
    <w:p w14:paraId="7621D9B5" w14:textId="1F8D08C4" w:rsidR="000D0234" w:rsidRPr="000703DD" w:rsidRDefault="000D0234" w:rsidP="003C58C0">
      <w:pPr>
        <w:pStyle w:val="Heading1"/>
        <w:spacing w:line="360" w:lineRule="auto"/>
      </w:pPr>
      <w:bookmarkStart w:id="186" w:name="_Toc147242480"/>
      <w:r w:rsidRPr="000703DD">
        <w:t>VII PERSONAL DATA PROTECTION</w:t>
      </w:r>
      <w:bookmarkEnd w:id="186"/>
    </w:p>
    <w:p w14:paraId="66B00DB0" w14:textId="0B0A0669" w:rsidR="00A821EB" w:rsidRPr="000703DD" w:rsidRDefault="000D0234" w:rsidP="003C58C0">
      <w:pPr>
        <w:pStyle w:val="Heading2"/>
        <w:spacing w:line="360" w:lineRule="auto"/>
      </w:pPr>
      <w:bookmarkStart w:id="187" w:name="_Toc147242481"/>
      <w:r w:rsidRPr="000703DD">
        <w:t>1 Processing of personal data</w:t>
      </w:r>
      <w:bookmarkEnd w:id="187"/>
    </w:p>
    <w:p w14:paraId="256E82AF" w14:textId="0ACA4DB5" w:rsidR="00125C72" w:rsidRPr="000703DD" w:rsidRDefault="00125C72" w:rsidP="003C58C0">
      <w:pPr>
        <w:spacing w:line="360" w:lineRule="auto"/>
      </w:pPr>
      <w:r w:rsidRPr="000703DD">
        <w:t xml:space="preserve">The implementation of the project involves, among others, the necessity to collect and make available personal data. Personal data are necessary to ensure the ongoing contact between applicants/Partners (including </w:t>
      </w:r>
      <w:r w:rsidR="008122ED" w:rsidRPr="000703DD">
        <w:t>lead partners</w:t>
      </w:r>
      <w:r w:rsidRPr="000703DD">
        <w:t xml:space="preserve">) and institutions at each stage of the project </w:t>
      </w:r>
      <w:r w:rsidR="00E93145" w:rsidRPr="000703DD">
        <w:t>lifecycle</w:t>
      </w:r>
      <w:r w:rsidRPr="000703DD">
        <w:t xml:space="preserve">, that is, among others, during the submission of the application, conclusion of the co-financing contract, as well as verification of </w:t>
      </w:r>
      <w:r w:rsidR="00B03AE0" w:rsidRPr="000703DD">
        <w:t xml:space="preserve">the </w:t>
      </w:r>
      <w:r w:rsidRPr="000703DD">
        <w:t>eligibility of expenditure</w:t>
      </w:r>
      <w:r w:rsidR="00B03AE0" w:rsidRPr="000703DD">
        <w:t>s</w:t>
      </w:r>
      <w:r w:rsidRPr="000703DD">
        <w:t xml:space="preserve"> incurred under the project. </w:t>
      </w:r>
    </w:p>
    <w:p w14:paraId="1B9835D0" w14:textId="77777777" w:rsidR="00125C72" w:rsidRPr="000703DD" w:rsidRDefault="00125C72" w:rsidP="003C58C0">
      <w:pPr>
        <w:spacing w:line="360" w:lineRule="auto"/>
      </w:pPr>
      <w:r w:rsidRPr="000703DD">
        <w:t xml:space="preserve">In connection with the project management, personal data will be processed, among others, as follows: </w:t>
      </w:r>
    </w:p>
    <w:p w14:paraId="395535EB" w14:textId="146629FE" w:rsidR="00125C72" w:rsidRPr="000703DD" w:rsidRDefault="008331F6" w:rsidP="003C58C0">
      <w:pPr>
        <w:pStyle w:val="ListParagraph"/>
        <w:numPr>
          <w:ilvl w:val="0"/>
          <w:numId w:val="22"/>
        </w:numPr>
        <w:spacing w:line="360" w:lineRule="auto"/>
      </w:pPr>
      <w:r>
        <w:t>D</w:t>
      </w:r>
      <w:r w:rsidR="000F67A9" w:rsidRPr="000703DD">
        <w:t xml:space="preserve">ata </w:t>
      </w:r>
      <w:r w:rsidR="00125C72" w:rsidRPr="000703DD">
        <w:t>of persons representing (or employees of) applicants, beneficiaries and partners, who apply for funds and implement projects</w:t>
      </w:r>
      <w:r>
        <w:t>.</w:t>
      </w:r>
    </w:p>
    <w:p w14:paraId="15024B8B" w14:textId="7A02CD2A" w:rsidR="00125C72" w:rsidRPr="000703DD" w:rsidRDefault="008331F6" w:rsidP="003C58C0">
      <w:pPr>
        <w:pStyle w:val="ListParagraph"/>
        <w:numPr>
          <w:ilvl w:val="0"/>
          <w:numId w:val="22"/>
        </w:numPr>
        <w:spacing w:line="360" w:lineRule="auto"/>
      </w:pPr>
      <w:r>
        <w:t>D</w:t>
      </w:r>
      <w:r w:rsidR="00125C72" w:rsidRPr="000703DD">
        <w:t>ata of persons representing (or employees of) entities related to applicants, beneficiaries and partners (in terms of capital, personal relations, supervisory institutions, etc.)</w:t>
      </w:r>
    </w:p>
    <w:p w14:paraId="1418DECD" w14:textId="1EC05556" w:rsidR="00125C72" w:rsidRPr="000703DD" w:rsidRDefault="008331F6" w:rsidP="003C58C0">
      <w:pPr>
        <w:pStyle w:val="ListParagraph"/>
        <w:numPr>
          <w:ilvl w:val="0"/>
          <w:numId w:val="22"/>
        </w:numPr>
        <w:spacing w:line="360" w:lineRule="auto"/>
      </w:pPr>
      <w:r>
        <w:lastRenderedPageBreak/>
        <w:t>D</w:t>
      </w:r>
      <w:r w:rsidR="00125C72" w:rsidRPr="000703DD">
        <w:t>ata of persons representing tenderers, contractors and subcontractors executing public procurement contracts or providing services on the basis of civil law contracts</w:t>
      </w:r>
      <w:r>
        <w:t>.</w:t>
      </w:r>
    </w:p>
    <w:p w14:paraId="19282702" w14:textId="539784AC" w:rsidR="00125C72" w:rsidRPr="000703DD" w:rsidRDefault="008331F6" w:rsidP="003C58C0">
      <w:pPr>
        <w:pStyle w:val="ListParagraph"/>
        <w:numPr>
          <w:ilvl w:val="0"/>
          <w:numId w:val="22"/>
        </w:numPr>
        <w:spacing w:line="360" w:lineRule="auto"/>
      </w:pPr>
      <w:r>
        <w:t>D</w:t>
      </w:r>
      <w:r w:rsidR="00125C72" w:rsidRPr="000703DD">
        <w:t>ata of employees of tenderers, contractors and subcontractors involved in preparing the tender or in performing the agreement</w:t>
      </w:r>
      <w:r>
        <w:t>.</w:t>
      </w:r>
    </w:p>
    <w:p w14:paraId="10A8330E" w14:textId="4C8316F4" w:rsidR="004136D9" w:rsidRPr="004F78BE" w:rsidRDefault="008331F6" w:rsidP="003C58C0">
      <w:pPr>
        <w:pStyle w:val="ListParagraph"/>
        <w:numPr>
          <w:ilvl w:val="0"/>
          <w:numId w:val="22"/>
        </w:numPr>
        <w:spacing w:line="360" w:lineRule="auto"/>
        <w:rPr>
          <w:rFonts w:ascii="Segoe UI" w:hAnsi="Segoe UI" w:cs="Segoe UI"/>
          <w:lang w:val="en-GB"/>
        </w:rPr>
      </w:pPr>
      <w:r>
        <w:t>D</w:t>
      </w:r>
      <w:r w:rsidR="00125C72" w:rsidRPr="000703DD">
        <w:t>ata of owners (or their representatives) from whom real estate for the purpose of implementing projects is purchased, or who are connected to (or who use) the infrastructure created as a result of implementing projects.</w:t>
      </w:r>
    </w:p>
    <w:p w14:paraId="786DFC37" w14:textId="5FE44BE0" w:rsidR="00125C72" w:rsidRPr="000703DD" w:rsidRDefault="000D0234" w:rsidP="003C58C0">
      <w:pPr>
        <w:pStyle w:val="Heading2"/>
        <w:spacing w:line="360" w:lineRule="auto"/>
      </w:pPr>
      <w:bookmarkStart w:id="188" w:name="_Toc147242482"/>
      <w:r w:rsidRPr="000703DD">
        <w:t>2 Data controllers</w:t>
      </w:r>
      <w:bookmarkEnd w:id="188"/>
    </w:p>
    <w:p w14:paraId="508EB6D9" w14:textId="16132A3B" w:rsidR="00D75F14" w:rsidRPr="000703DD" w:rsidRDefault="00D75F14" w:rsidP="003C58C0">
      <w:pPr>
        <w:spacing w:line="360" w:lineRule="auto"/>
      </w:pPr>
      <w:r w:rsidRPr="000703DD">
        <w:rPr>
          <w:rFonts w:ascii="Open Sans SemiBold" w:eastAsia="Open Sans SemiBold" w:hAnsi="Open Sans SemiBold" w:cs="Open Sans SemiBold"/>
          <w:bCs/>
          <w:color w:val="003399"/>
        </w:rPr>
        <w:t xml:space="preserve">Partners (including the </w:t>
      </w:r>
      <w:r w:rsidR="008122ED" w:rsidRPr="000703DD">
        <w:rPr>
          <w:rFonts w:ascii="Open Sans SemiBold" w:eastAsia="Open Sans SemiBold" w:hAnsi="Open Sans SemiBold" w:cs="Open Sans SemiBold"/>
          <w:bCs/>
          <w:color w:val="003399"/>
        </w:rPr>
        <w:t>l</w:t>
      </w:r>
      <w:r w:rsidR="00D45EFF" w:rsidRPr="000703DD">
        <w:rPr>
          <w:rFonts w:ascii="Open Sans SemiBold" w:eastAsia="Open Sans SemiBold" w:hAnsi="Open Sans SemiBold" w:cs="Open Sans SemiBold"/>
          <w:bCs/>
          <w:color w:val="003399"/>
        </w:rPr>
        <w:t>ead partner</w:t>
      </w:r>
      <w:r w:rsidRPr="000703DD">
        <w:rPr>
          <w:rFonts w:ascii="Open Sans SemiBold" w:eastAsia="Open Sans SemiBold" w:hAnsi="Open Sans SemiBold" w:cs="Open Sans SemiBold"/>
          <w:bCs/>
          <w:color w:val="003399"/>
        </w:rPr>
        <w:t>)</w:t>
      </w:r>
      <w:r w:rsidRPr="000703DD">
        <w:t xml:space="preserve"> participating in the project implementation and collecting personal data inter alia for the purpose of project preparation, implementation and settlement </w:t>
      </w:r>
      <w:r w:rsidRPr="000703DD">
        <w:rPr>
          <w:rFonts w:ascii="Open Sans SemiBold" w:eastAsia="Open Sans SemiBold" w:hAnsi="Open Sans SemiBold" w:cs="Open Sans SemiBold"/>
          <w:bCs/>
          <w:color w:val="003399"/>
        </w:rPr>
        <w:t>are the data controllers within the meaning of</w:t>
      </w:r>
      <w:r w:rsidR="00BC5581" w:rsidRPr="000703DD">
        <w:rPr>
          <w:rFonts w:ascii="Open Sans SemiBold" w:eastAsia="Open Sans SemiBold" w:hAnsi="Open Sans SemiBold" w:cs="Open Sans SemiBold"/>
          <w:bCs/>
          <w:color w:val="003399"/>
        </w:rPr>
        <w:t xml:space="preserve"> the</w:t>
      </w:r>
      <w:r w:rsidRPr="000703DD">
        <w:rPr>
          <w:rFonts w:ascii="Open Sans SemiBold" w:eastAsia="Open Sans SemiBold" w:hAnsi="Open Sans SemiBold" w:cs="Open Sans SemiBold"/>
          <w:bCs/>
          <w:color w:val="003399"/>
        </w:rPr>
        <w:t xml:space="preserve"> GDPR</w:t>
      </w:r>
      <w:r w:rsidR="00BC5581" w:rsidRPr="000703DD">
        <w:rPr>
          <w:rFonts w:ascii="Open Sans SemiBold" w:eastAsia="Open Sans SemiBold" w:hAnsi="Open Sans SemiBold" w:cs="Open Sans SemiBold"/>
          <w:bCs/>
          <w:color w:val="003399"/>
        </w:rPr>
        <w:t>.</w:t>
      </w:r>
      <w:r w:rsidR="00D23A2E">
        <w:rPr>
          <w:rStyle w:val="FootnoteReference"/>
          <w:rFonts w:ascii="Open Sans SemiBold" w:eastAsia="Open Sans SemiBold" w:hAnsi="Open Sans SemiBold" w:cs="Open Sans SemiBold"/>
          <w:bCs/>
          <w:color w:val="003399"/>
          <w:sz w:val="20"/>
          <w:szCs w:val="20"/>
        </w:rPr>
        <w:footnoteReference w:id="54"/>
      </w:r>
    </w:p>
    <w:p w14:paraId="522DE03A" w14:textId="77777777" w:rsidR="0046743B" w:rsidRDefault="00D75F14" w:rsidP="003C58C0">
      <w:pPr>
        <w:spacing w:line="360" w:lineRule="auto"/>
      </w:pPr>
      <w:r w:rsidRPr="000703DD">
        <w:t>In the course of the project implementation</w:t>
      </w:r>
      <w:r w:rsidR="00BC5581" w:rsidRPr="000703DD">
        <w:t>,</w:t>
      </w:r>
      <w:r w:rsidRPr="000703DD">
        <w:t xml:space="preserve"> various types of documents and information containing personal data are being exchanged and transferred. Recipients of personal data from the </w:t>
      </w:r>
      <w:r w:rsidR="00897103" w:rsidRPr="000703DD">
        <w:t>p</w:t>
      </w:r>
      <w:r w:rsidRPr="000703DD">
        <w:t>artners (</w:t>
      </w:r>
      <w:r w:rsidR="008122ED" w:rsidRPr="000703DD">
        <w:t>l</w:t>
      </w:r>
      <w:r w:rsidR="00D45EFF" w:rsidRPr="000703DD">
        <w:t>ead partner</w:t>
      </w:r>
      <w:r w:rsidRPr="000703DD">
        <w:t xml:space="preserve">) are mainly the Joint Secretariat (the Center of European Projects in Warsaw), the relevant First Level Controller and the Managing Authority (Minister of Development Funds and Regional Policy in Poland). This </w:t>
      </w:r>
      <w:r w:rsidRPr="0046743B">
        <w:rPr>
          <w:rFonts w:ascii="Open Sans SemiBold" w:eastAsia="Open Sans SemiBold" w:hAnsi="Open Sans SemiBold" w:cs="Open Sans SemiBold"/>
          <w:bCs/>
          <w:color w:val="003399"/>
        </w:rPr>
        <w:t>transfer of personal data</w:t>
      </w:r>
      <w:r w:rsidRPr="000703DD">
        <w:t xml:space="preserve"> constitutes a making available of data within the meaning of </w:t>
      </w:r>
      <w:r w:rsidR="004F1673" w:rsidRPr="000703DD">
        <w:t xml:space="preserve">the </w:t>
      </w:r>
      <w:r w:rsidRPr="000703DD">
        <w:t>GDPR.</w:t>
      </w:r>
    </w:p>
    <w:p w14:paraId="1DD5B7E6" w14:textId="4B388407" w:rsidR="00D75F14" w:rsidRPr="000703DD" w:rsidRDefault="00D75F14" w:rsidP="003C58C0">
      <w:pPr>
        <w:spacing w:line="360" w:lineRule="auto"/>
      </w:pPr>
      <w:r w:rsidRPr="000703DD">
        <w:lastRenderedPageBreak/>
        <w:t xml:space="preserve"> </w:t>
      </w:r>
      <w:r w:rsidRPr="0046743B">
        <w:t xml:space="preserve">As a result of </w:t>
      </w:r>
      <w:r w:rsidR="004F1673" w:rsidRPr="0046743B">
        <w:t xml:space="preserve">the </w:t>
      </w:r>
      <w:r w:rsidRPr="0046743B">
        <w:t>making available of data</w:t>
      </w:r>
      <w:r w:rsidRPr="000703DD">
        <w:t xml:space="preserve">, the institutions indicated above become independent data controllers of the personal data made available to them, separate from the </w:t>
      </w:r>
      <w:r w:rsidR="00897103" w:rsidRPr="000703DD">
        <w:t>p</w:t>
      </w:r>
      <w:r w:rsidRPr="000703DD">
        <w:t xml:space="preserve">artners and the </w:t>
      </w:r>
      <w:r w:rsidR="008122ED" w:rsidRPr="000703DD">
        <w:t>l</w:t>
      </w:r>
      <w:r w:rsidR="00D45EFF" w:rsidRPr="000703DD">
        <w:t>ead partner</w:t>
      </w:r>
      <w:r w:rsidRPr="000703DD">
        <w:t xml:space="preserve">. </w:t>
      </w:r>
    </w:p>
    <w:p w14:paraId="4D29CD4A" w14:textId="4DA9F891" w:rsidR="004136D9" w:rsidRPr="000703DD" w:rsidRDefault="00D75F14" w:rsidP="003C58C0">
      <w:pPr>
        <w:spacing w:line="360" w:lineRule="auto"/>
      </w:pPr>
      <w:r w:rsidRPr="000703DD">
        <w:t>All data controllers (</w:t>
      </w:r>
      <w:r w:rsidR="00897103" w:rsidRPr="000703DD">
        <w:t>p</w:t>
      </w:r>
      <w:r w:rsidRPr="000703DD">
        <w:t xml:space="preserve">artners, </w:t>
      </w:r>
      <w:r w:rsidR="008122ED" w:rsidRPr="000703DD">
        <w:t>l</w:t>
      </w:r>
      <w:r w:rsidR="00D45EFF" w:rsidRPr="000703DD">
        <w:t>ead partner</w:t>
      </w:r>
      <w:r w:rsidRPr="000703DD">
        <w:t>, Joint Secretariat, First Level Controllers, Managing Authority) are responsible for the processing of personal data and their protection in accordance with the applicable provisions of law on personal data and privacy, including</w:t>
      </w:r>
      <w:r w:rsidR="004F1673" w:rsidRPr="000703DD">
        <w:t>,</w:t>
      </w:r>
      <w:r w:rsidRPr="000703DD">
        <w:t xml:space="preserve"> in particular</w:t>
      </w:r>
      <w:r w:rsidR="004F1673" w:rsidRPr="000703DD">
        <w:t>,</w:t>
      </w:r>
      <w:r w:rsidRPr="000703DD">
        <w:t xml:space="preserve"> the GDPR and the provisions of law of the Member State competent for the seat of the data controller.</w:t>
      </w:r>
    </w:p>
    <w:p w14:paraId="204B8DCD" w14:textId="5982367A" w:rsidR="000D0234" w:rsidRPr="00C70B59" w:rsidRDefault="000D0234" w:rsidP="003C58C0">
      <w:pPr>
        <w:pStyle w:val="Heading2"/>
        <w:spacing w:line="360" w:lineRule="auto"/>
      </w:pPr>
      <w:bookmarkStart w:id="189" w:name="_Toc147242483"/>
      <w:r w:rsidRPr="00C70B59">
        <w:t>3 Information obligation</w:t>
      </w:r>
      <w:bookmarkEnd w:id="189"/>
    </w:p>
    <w:p w14:paraId="03377789" w14:textId="4E16D10B" w:rsidR="00D75F14" w:rsidRPr="00C70B59" w:rsidRDefault="00D75F14" w:rsidP="003C58C0">
      <w:pPr>
        <w:spacing w:line="360" w:lineRule="auto"/>
      </w:pPr>
      <w:r w:rsidRPr="00C70B59">
        <w:t xml:space="preserve">Data controllers shall fulfil an information obligation towards the persons whose data they obtain. </w:t>
      </w:r>
      <w:r w:rsidR="004261DF" w:rsidRPr="00C70B59">
        <w:t>For</w:t>
      </w:r>
      <w:r w:rsidRPr="00C70B59">
        <w:t xml:space="preserve"> </w:t>
      </w:r>
      <w:r w:rsidR="00897103" w:rsidRPr="00C70B59">
        <w:t>p</w:t>
      </w:r>
      <w:r w:rsidRPr="00C70B59">
        <w:t xml:space="preserve">artners and the </w:t>
      </w:r>
      <w:r w:rsidR="008122ED" w:rsidRPr="00C70B59">
        <w:t>l</w:t>
      </w:r>
      <w:r w:rsidR="00D45EFF" w:rsidRPr="00C70B59">
        <w:t>ead partner</w:t>
      </w:r>
      <w:r w:rsidR="003B6D54" w:rsidRPr="00C70B59">
        <w:t>,</w:t>
      </w:r>
      <w:r w:rsidRPr="00C70B59">
        <w:t xml:space="preserve"> this obligation exists</w:t>
      </w:r>
      <w:r w:rsidR="003B6D54" w:rsidRPr="00C70B59">
        <w:t>,</w:t>
      </w:r>
      <w:r w:rsidRPr="00C70B59">
        <w:t xml:space="preserve"> for example</w:t>
      </w:r>
      <w:r w:rsidR="003B6D54" w:rsidRPr="00C70B59">
        <w:t>,</w:t>
      </w:r>
      <w:r w:rsidRPr="00C70B59">
        <w:t xml:space="preserve"> towards their employees, counterparties and contractors of various orders and agreements connected with the project. </w:t>
      </w:r>
      <w:r w:rsidR="00B7310E" w:rsidRPr="00C70B59">
        <w:t>To</w:t>
      </w:r>
      <w:r w:rsidRPr="00C70B59">
        <w:t xml:space="preserve"> provide these persons with comprehensive and clear information on the principles of processing their personal data and their rights, we hereby share a model information clause to use. It should be used by the </w:t>
      </w:r>
      <w:r w:rsidR="008122ED" w:rsidRPr="00C70B59">
        <w:t>p</w:t>
      </w:r>
      <w:r w:rsidRPr="00C70B59">
        <w:t xml:space="preserve">artners and the </w:t>
      </w:r>
      <w:r w:rsidR="008122ED" w:rsidRPr="00C70B59">
        <w:t>l</w:t>
      </w:r>
      <w:r w:rsidR="00D45EFF" w:rsidRPr="00C70B59">
        <w:t>ead partner</w:t>
      </w:r>
      <w:r w:rsidRPr="00C70B59">
        <w:t xml:space="preserve"> when these data are obtained. The </w:t>
      </w:r>
      <w:r w:rsidR="008122ED" w:rsidRPr="00C70B59">
        <w:t>p</w:t>
      </w:r>
      <w:r w:rsidRPr="00C70B59">
        <w:t xml:space="preserve">artners and </w:t>
      </w:r>
      <w:r w:rsidR="008122ED" w:rsidRPr="00C70B59">
        <w:t>l</w:t>
      </w:r>
      <w:r w:rsidR="00D45EFF" w:rsidRPr="00C70B59">
        <w:t>ead partner</w:t>
      </w:r>
      <w:r w:rsidRPr="00C70B59">
        <w:t xml:space="preserve"> should exercise the information obligation on behalf of themselves as well as on behalf of the other data controllers, that is</w:t>
      </w:r>
      <w:r w:rsidR="003B6D54" w:rsidRPr="00C70B59">
        <w:t>,</w:t>
      </w:r>
      <w:r w:rsidRPr="00C70B59">
        <w:t xml:space="preserve"> the Joint Secretariat, the First Level Controller and the Managing Authority. The information obligation may </w:t>
      </w:r>
      <w:r w:rsidR="003B6D54" w:rsidRPr="00C70B59">
        <w:t xml:space="preserve">also </w:t>
      </w:r>
      <w:r w:rsidRPr="00C70B59">
        <w:t xml:space="preserve">be performed on the basis of another form of the information clause used by the </w:t>
      </w:r>
      <w:r w:rsidR="008122ED" w:rsidRPr="00C70B59">
        <w:t>p</w:t>
      </w:r>
      <w:r w:rsidRPr="00C70B59">
        <w:t>artner/</w:t>
      </w:r>
      <w:r w:rsidR="008122ED" w:rsidRPr="00C70B59">
        <w:t>l</w:t>
      </w:r>
      <w:r w:rsidR="00D45EFF" w:rsidRPr="00C70B59">
        <w:t>ead partner</w:t>
      </w:r>
      <w:r w:rsidRPr="00C70B59">
        <w:t xml:space="preserve"> as long as it contains all the elements and information included in the submitted form. </w:t>
      </w:r>
    </w:p>
    <w:p w14:paraId="13235DB6" w14:textId="31A673ED" w:rsidR="004676B1" w:rsidRDefault="00D75F14" w:rsidP="003C58C0">
      <w:pPr>
        <w:spacing w:line="360" w:lineRule="auto"/>
      </w:pPr>
      <w:r w:rsidRPr="00C70B59">
        <w:t>Detailed provisions on the processing of personal data in connection with project implementation are included in the Subsidy Contract and in the Partnership Agreement.</w:t>
      </w:r>
    </w:p>
    <w:p w14:paraId="29A612D8" w14:textId="31A673ED" w:rsidR="00D11EC5" w:rsidRPr="00C70B59" w:rsidRDefault="009873C0" w:rsidP="003C58C0">
      <w:pPr>
        <w:pStyle w:val="Heading1"/>
        <w:spacing w:line="360" w:lineRule="auto"/>
      </w:pPr>
      <w:bookmarkStart w:id="190" w:name="_Toc147242484"/>
      <w:r w:rsidRPr="00C70B59">
        <w:lastRenderedPageBreak/>
        <w:t>VIII</w:t>
      </w:r>
      <w:r w:rsidR="00C911A2" w:rsidRPr="00C70B59">
        <w:t xml:space="preserve"> </w:t>
      </w:r>
      <w:r w:rsidR="005B1194" w:rsidRPr="00C70B59">
        <w:t>PROJECT DURABILITY</w:t>
      </w:r>
      <w:bookmarkEnd w:id="190"/>
    </w:p>
    <w:p w14:paraId="2B596393" w14:textId="43117CFC" w:rsidR="00D11EC5" w:rsidRPr="00C70B59" w:rsidRDefault="003024CE" w:rsidP="003C58C0">
      <w:pPr>
        <w:pStyle w:val="Heading2"/>
        <w:spacing w:line="360" w:lineRule="auto"/>
      </w:pPr>
      <w:bookmarkStart w:id="191" w:name="_Toc147242485"/>
      <w:r w:rsidRPr="00C70B59">
        <w:t>1</w:t>
      </w:r>
      <w:r w:rsidR="00D11EC5" w:rsidRPr="00C70B59">
        <w:t xml:space="preserve"> </w:t>
      </w:r>
      <w:r w:rsidRPr="00C70B59">
        <w:t>Project durability</w:t>
      </w:r>
      <w:bookmarkEnd w:id="191"/>
    </w:p>
    <w:p w14:paraId="634165A3" w14:textId="12B66B0D" w:rsidR="00D11EC5" w:rsidRPr="00C70B59" w:rsidRDefault="005B5CB7" w:rsidP="003C58C0">
      <w:pPr>
        <w:spacing w:line="360" w:lineRule="auto"/>
      </w:pPr>
      <w:r w:rsidRPr="00C70B59">
        <w:t>Durability of project outputs and results refers to the long-lasting effect of a project</w:t>
      </w:r>
      <w:r w:rsidR="00580541" w:rsidRPr="00C70B59">
        <w:t>’</w:t>
      </w:r>
      <w:r w:rsidRPr="00C70B59">
        <w:t>s</w:t>
      </w:r>
      <w:r w:rsidR="00D11EC5" w:rsidRPr="00C70B59">
        <w:t xml:space="preserve"> </w:t>
      </w:r>
      <w:r w:rsidRPr="00C70B59">
        <w:t xml:space="preserve">achievements beyond </w:t>
      </w:r>
      <w:r w:rsidR="003B6D54" w:rsidRPr="00C70B59">
        <w:t xml:space="preserve">the </w:t>
      </w:r>
      <w:r w:rsidRPr="00C70B59">
        <w:t xml:space="preserve">project duration. </w:t>
      </w:r>
    </w:p>
    <w:p w14:paraId="5F8FB7F9" w14:textId="76FD087C" w:rsidR="00D11EC5" w:rsidRPr="00C70B59" w:rsidRDefault="005B5CB7" w:rsidP="003C58C0">
      <w:pPr>
        <w:spacing w:line="360" w:lineRule="auto"/>
      </w:pPr>
      <w:r w:rsidRPr="00C70B59">
        <w:t>Project partnerships should strive for durable outputs and results whose short</w:t>
      </w:r>
      <w:r w:rsidR="003B6D54" w:rsidRPr="00C70B59">
        <w:t>-</w:t>
      </w:r>
      <w:r w:rsidRPr="00C70B59">
        <w:t xml:space="preserve"> and long-term exploitation will result in tangible impacts for the benefit of individuals, businesses, communities, and the environment. </w:t>
      </w:r>
    </w:p>
    <w:p w14:paraId="67B4617A" w14:textId="63B1BCD1" w:rsidR="005B5CB7" w:rsidRPr="00C70B59" w:rsidRDefault="005B5CB7" w:rsidP="003C58C0">
      <w:pPr>
        <w:spacing w:line="360" w:lineRule="auto"/>
      </w:pPr>
      <w:r w:rsidRPr="00C70B59">
        <w:t>Those outputs and results achieved by each partnership will be sustained and exploited beyond the lifetime of the funded implementation periods. Therefore, all project partners have an obligation to ensure</w:t>
      </w:r>
      <w:r w:rsidR="003B6D54" w:rsidRPr="00C70B59">
        <w:t xml:space="preserve"> the</w:t>
      </w:r>
      <w:r w:rsidRPr="00C70B59">
        <w:t xml:space="preserve"> durability of </w:t>
      </w:r>
      <w:r w:rsidR="003B6D54" w:rsidRPr="00C70B59">
        <w:t xml:space="preserve">the </w:t>
      </w:r>
      <w:r w:rsidRPr="00C70B59">
        <w:t>project outputs and results they achieved.</w:t>
      </w:r>
    </w:p>
    <w:p w14:paraId="7D84490C" w14:textId="0BADD14D" w:rsidR="005B5CB7" w:rsidRDefault="003B6D54" w:rsidP="003C58C0">
      <w:pPr>
        <w:spacing w:line="360" w:lineRule="auto"/>
      </w:pPr>
      <w:r w:rsidRPr="00C70B59">
        <w:t xml:space="preserve">A </w:t>
      </w:r>
      <w:r w:rsidR="00D11EC5" w:rsidRPr="00C70B59">
        <w:t>c</w:t>
      </w:r>
      <w:r w:rsidR="005B5CB7" w:rsidRPr="00C70B59">
        <w:t>atalogue of tangible and durable outputs and results is presented below:</w:t>
      </w:r>
    </w:p>
    <w:tbl>
      <w:tblPr>
        <w:tblStyle w:val="TableNormal1"/>
        <w:tblpPr w:leftFromText="180" w:rightFromText="180" w:vertAnchor="text" w:horzAnchor="margin" w:tblpY="305"/>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Caption w:val="A catalogue of tangible and durable outputs and results"/>
        <w:tblDescription w:val="Marketable product, e.g. A multimodal cross-border ticket.&#10;Market scheme, e.g. Public service obligations.&#10;Governance scheme, e.g. Legislation changes, local traffic reorganisation&#10;Institutionalisation, e.g. Sustainable Mobility Coordinator post in the cities; BIO/ECO business support contact points network&#10;Decision support systems, e.g. Cross-border freight transport planning New business model, e.g. Public transport supply diversification&#10;Investments, e.g. Photovoltaic Park as a result of a cross-border feasibility study&#10;New university curricula, e.g. Alignment of education and demands of the maritime industry"/>
      </w:tblPr>
      <w:tblGrid>
        <w:gridCol w:w="3045"/>
        <w:gridCol w:w="6030"/>
      </w:tblGrid>
      <w:tr w:rsidR="009004C7" w:rsidRPr="001E7CD9" w14:paraId="4EA25B48" w14:textId="77777777" w:rsidTr="00B62D9C">
        <w:trPr>
          <w:trHeight w:val="608"/>
          <w:tblHeader/>
        </w:trPr>
        <w:tc>
          <w:tcPr>
            <w:tcW w:w="3045" w:type="dxa"/>
            <w:tcBorders>
              <w:left w:val="single" w:sz="12" w:space="0" w:color="003399"/>
              <w:bottom w:val="single" w:sz="12" w:space="0" w:color="003399"/>
              <w:right w:val="single" w:sz="12" w:space="0" w:color="003399"/>
            </w:tcBorders>
          </w:tcPr>
          <w:p w14:paraId="4948212F" w14:textId="71E19E56" w:rsidR="009004C7" w:rsidRPr="004736DC" w:rsidRDefault="009004C7" w:rsidP="003C58C0">
            <w:pPr>
              <w:pStyle w:val="TableParagraph"/>
              <w:spacing w:line="360" w:lineRule="auto"/>
            </w:pPr>
            <w:r w:rsidRPr="009004C7">
              <w:t>Tangible and durable services/products</w:t>
            </w:r>
          </w:p>
        </w:tc>
        <w:tc>
          <w:tcPr>
            <w:tcW w:w="6030" w:type="dxa"/>
            <w:tcBorders>
              <w:left w:val="single" w:sz="12" w:space="0" w:color="003399"/>
              <w:bottom w:val="single" w:sz="12" w:space="0" w:color="003399"/>
              <w:right w:val="single" w:sz="12" w:space="0" w:color="003399"/>
            </w:tcBorders>
          </w:tcPr>
          <w:p w14:paraId="6F2DE475" w14:textId="77777777" w:rsidR="009004C7" w:rsidRPr="004736DC" w:rsidRDefault="009004C7" w:rsidP="003C58C0">
            <w:pPr>
              <w:pStyle w:val="TableParagraph"/>
              <w:spacing w:line="360" w:lineRule="auto"/>
            </w:pPr>
            <w:r w:rsidRPr="0078661F">
              <w:t>First Level Control institutions</w:t>
            </w:r>
          </w:p>
        </w:tc>
      </w:tr>
      <w:tr w:rsidR="009004C7" w:rsidRPr="00805C22" w14:paraId="585770B0" w14:textId="77777777" w:rsidTr="0046743B">
        <w:trPr>
          <w:trHeight w:val="417"/>
        </w:trPr>
        <w:tc>
          <w:tcPr>
            <w:tcW w:w="3045" w:type="dxa"/>
            <w:tcBorders>
              <w:top w:val="single" w:sz="12" w:space="0" w:color="003399"/>
              <w:left w:val="single" w:sz="12" w:space="0" w:color="003399"/>
              <w:bottom w:val="single" w:sz="12" w:space="0" w:color="003399"/>
              <w:right w:val="single" w:sz="12" w:space="0" w:color="003399"/>
            </w:tcBorders>
          </w:tcPr>
          <w:p w14:paraId="4594BFE2" w14:textId="38E19ED2" w:rsidR="009004C7" w:rsidRPr="009004C7" w:rsidRDefault="009004C7" w:rsidP="003C58C0">
            <w:pPr>
              <w:pStyle w:val="TableParagraph"/>
              <w:spacing w:line="360" w:lineRule="auto"/>
            </w:pPr>
            <w:r w:rsidRPr="009004C7">
              <w:t>Marketable product</w:t>
            </w:r>
          </w:p>
        </w:tc>
        <w:tc>
          <w:tcPr>
            <w:tcW w:w="6030" w:type="dxa"/>
            <w:tcBorders>
              <w:top w:val="single" w:sz="12" w:space="0" w:color="003399"/>
              <w:left w:val="single" w:sz="12" w:space="0" w:color="003399"/>
              <w:bottom w:val="single" w:sz="12" w:space="0" w:color="003399"/>
              <w:right w:val="single" w:sz="12" w:space="0" w:color="003399"/>
            </w:tcBorders>
          </w:tcPr>
          <w:p w14:paraId="3E0B736A" w14:textId="45896EE1" w:rsidR="009004C7" w:rsidRPr="004736DC" w:rsidRDefault="009004C7" w:rsidP="003C58C0">
            <w:pPr>
              <w:pStyle w:val="TableParagraph"/>
              <w:spacing w:line="360" w:lineRule="auto"/>
            </w:pPr>
            <w:r w:rsidRPr="009004C7">
              <w:t>A multimodal cross-border ticket</w:t>
            </w:r>
          </w:p>
        </w:tc>
      </w:tr>
      <w:tr w:rsidR="009004C7" w:rsidRPr="0078661F" w14:paraId="73E2EBB8" w14:textId="77777777" w:rsidTr="0046743B">
        <w:trPr>
          <w:trHeight w:val="417"/>
        </w:trPr>
        <w:tc>
          <w:tcPr>
            <w:tcW w:w="3045" w:type="dxa"/>
            <w:tcBorders>
              <w:top w:val="single" w:sz="12" w:space="0" w:color="003399"/>
              <w:left w:val="single" w:sz="12" w:space="0" w:color="003399"/>
              <w:bottom w:val="single" w:sz="12" w:space="0" w:color="003399"/>
              <w:right w:val="single" w:sz="12" w:space="0" w:color="003399"/>
            </w:tcBorders>
          </w:tcPr>
          <w:p w14:paraId="7862F1E8" w14:textId="295F4FF7" w:rsidR="009004C7" w:rsidRPr="009004C7" w:rsidRDefault="009004C7" w:rsidP="003C58C0">
            <w:pPr>
              <w:pStyle w:val="TableParagraph"/>
              <w:spacing w:line="360" w:lineRule="auto"/>
            </w:pPr>
            <w:r w:rsidRPr="009004C7">
              <w:t>Market scheme</w:t>
            </w:r>
          </w:p>
        </w:tc>
        <w:tc>
          <w:tcPr>
            <w:tcW w:w="6030" w:type="dxa"/>
            <w:tcBorders>
              <w:top w:val="single" w:sz="12" w:space="0" w:color="003399"/>
              <w:left w:val="single" w:sz="12" w:space="0" w:color="003399"/>
              <w:bottom w:val="single" w:sz="12" w:space="0" w:color="003399"/>
              <w:right w:val="single" w:sz="12" w:space="0" w:color="003399"/>
            </w:tcBorders>
          </w:tcPr>
          <w:p w14:paraId="06E75635" w14:textId="446F8FF8" w:rsidR="009004C7" w:rsidRPr="009004C7" w:rsidRDefault="009004C7" w:rsidP="003C58C0">
            <w:pPr>
              <w:pStyle w:val="TableParagraph"/>
              <w:spacing w:line="360" w:lineRule="auto"/>
            </w:pPr>
            <w:r w:rsidRPr="009004C7">
              <w:t>Public service obligations</w:t>
            </w:r>
          </w:p>
        </w:tc>
      </w:tr>
      <w:tr w:rsidR="009004C7" w:rsidRPr="00805C22" w14:paraId="518B2D4E" w14:textId="77777777" w:rsidTr="0046743B">
        <w:trPr>
          <w:trHeight w:val="435"/>
        </w:trPr>
        <w:tc>
          <w:tcPr>
            <w:tcW w:w="3045" w:type="dxa"/>
            <w:tcBorders>
              <w:top w:val="single" w:sz="12" w:space="0" w:color="003399"/>
              <w:left w:val="single" w:sz="12" w:space="0" w:color="003399"/>
              <w:bottom w:val="single" w:sz="12" w:space="0" w:color="003399"/>
              <w:right w:val="single" w:sz="12" w:space="0" w:color="003399"/>
            </w:tcBorders>
          </w:tcPr>
          <w:p w14:paraId="0AAA1954" w14:textId="2C5E6C69" w:rsidR="009004C7" w:rsidRPr="009004C7" w:rsidRDefault="009004C7" w:rsidP="003C58C0">
            <w:pPr>
              <w:pStyle w:val="TableParagraph"/>
              <w:spacing w:line="360" w:lineRule="auto"/>
            </w:pPr>
            <w:r w:rsidRPr="009004C7">
              <w:t>Governance scheme</w:t>
            </w:r>
          </w:p>
        </w:tc>
        <w:tc>
          <w:tcPr>
            <w:tcW w:w="6030" w:type="dxa"/>
            <w:tcBorders>
              <w:top w:val="single" w:sz="12" w:space="0" w:color="003399"/>
              <w:left w:val="single" w:sz="12" w:space="0" w:color="003399"/>
              <w:bottom w:val="single" w:sz="12" w:space="0" w:color="003399"/>
              <w:right w:val="single" w:sz="12" w:space="0" w:color="003399"/>
            </w:tcBorders>
          </w:tcPr>
          <w:p w14:paraId="3A9A6E6D" w14:textId="06F2FBF5" w:rsidR="009004C7" w:rsidRPr="009004C7" w:rsidRDefault="009004C7" w:rsidP="003C58C0">
            <w:pPr>
              <w:pStyle w:val="TableParagraph"/>
              <w:spacing w:line="360" w:lineRule="auto"/>
            </w:pPr>
            <w:r w:rsidRPr="009004C7">
              <w:t>Legislation changes, local traffic reorganisation</w:t>
            </w:r>
          </w:p>
        </w:tc>
      </w:tr>
      <w:tr w:rsidR="009004C7" w:rsidRPr="00805C22" w14:paraId="1EC02EBE" w14:textId="77777777" w:rsidTr="0046743B">
        <w:trPr>
          <w:trHeight w:val="693"/>
        </w:trPr>
        <w:tc>
          <w:tcPr>
            <w:tcW w:w="3045" w:type="dxa"/>
            <w:tcBorders>
              <w:top w:val="single" w:sz="12" w:space="0" w:color="003399"/>
              <w:left w:val="single" w:sz="12" w:space="0" w:color="003399"/>
              <w:bottom w:val="single" w:sz="12" w:space="0" w:color="003399"/>
              <w:right w:val="single" w:sz="12" w:space="0" w:color="003399"/>
            </w:tcBorders>
          </w:tcPr>
          <w:p w14:paraId="18C15C15" w14:textId="52D39F3E" w:rsidR="009004C7" w:rsidRPr="009004C7" w:rsidRDefault="009004C7" w:rsidP="003C58C0">
            <w:pPr>
              <w:pStyle w:val="TableParagraph"/>
              <w:spacing w:line="360" w:lineRule="auto"/>
            </w:pPr>
            <w:r w:rsidRPr="009004C7">
              <w:t>Institutionalisation</w:t>
            </w:r>
          </w:p>
        </w:tc>
        <w:tc>
          <w:tcPr>
            <w:tcW w:w="6030" w:type="dxa"/>
            <w:tcBorders>
              <w:top w:val="single" w:sz="12" w:space="0" w:color="003399"/>
              <w:left w:val="single" w:sz="12" w:space="0" w:color="003399"/>
              <w:bottom w:val="single" w:sz="12" w:space="0" w:color="003399"/>
              <w:right w:val="single" w:sz="12" w:space="0" w:color="003399"/>
            </w:tcBorders>
          </w:tcPr>
          <w:p w14:paraId="4CF644F4" w14:textId="32B897D5" w:rsidR="009004C7" w:rsidRPr="009004C7" w:rsidRDefault="009004C7" w:rsidP="003C58C0">
            <w:pPr>
              <w:pStyle w:val="TableParagraph"/>
              <w:spacing w:line="360" w:lineRule="auto"/>
            </w:pPr>
            <w:r w:rsidRPr="009004C7">
              <w:t>Sustainable Mobility Coordinator post in the cities; BIO/ECO business support contact points network</w:t>
            </w:r>
          </w:p>
        </w:tc>
      </w:tr>
      <w:tr w:rsidR="009004C7" w:rsidRPr="00805C22" w14:paraId="36CEE801" w14:textId="77777777" w:rsidTr="0046743B">
        <w:trPr>
          <w:trHeight w:val="408"/>
        </w:trPr>
        <w:tc>
          <w:tcPr>
            <w:tcW w:w="3045" w:type="dxa"/>
            <w:tcBorders>
              <w:top w:val="single" w:sz="12" w:space="0" w:color="003399"/>
              <w:left w:val="single" w:sz="12" w:space="0" w:color="003399"/>
              <w:bottom w:val="single" w:sz="12" w:space="0" w:color="003399"/>
              <w:right w:val="single" w:sz="12" w:space="0" w:color="003399"/>
            </w:tcBorders>
          </w:tcPr>
          <w:p w14:paraId="4DCDEA4B" w14:textId="24026A30" w:rsidR="009004C7" w:rsidRPr="009004C7" w:rsidRDefault="009004C7" w:rsidP="003C58C0">
            <w:pPr>
              <w:pStyle w:val="TableParagraph"/>
              <w:spacing w:line="360" w:lineRule="auto"/>
            </w:pPr>
            <w:r w:rsidRPr="009004C7">
              <w:t>Decision support systems</w:t>
            </w:r>
          </w:p>
        </w:tc>
        <w:tc>
          <w:tcPr>
            <w:tcW w:w="6030" w:type="dxa"/>
            <w:tcBorders>
              <w:top w:val="single" w:sz="12" w:space="0" w:color="003399"/>
              <w:left w:val="single" w:sz="12" w:space="0" w:color="003399"/>
              <w:bottom w:val="single" w:sz="12" w:space="0" w:color="003399"/>
              <w:right w:val="single" w:sz="12" w:space="0" w:color="003399"/>
            </w:tcBorders>
          </w:tcPr>
          <w:p w14:paraId="6FA20CB8" w14:textId="6EA59833" w:rsidR="009004C7" w:rsidRPr="009004C7" w:rsidRDefault="009004C7" w:rsidP="003C58C0">
            <w:pPr>
              <w:pStyle w:val="TableParagraph"/>
              <w:spacing w:line="360" w:lineRule="auto"/>
            </w:pPr>
            <w:r w:rsidRPr="009004C7">
              <w:t>Cross-border freight transport planning</w:t>
            </w:r>
          </w:p>
        </w:tc>
      </w:tr>
      <w:tr w:rsidR="009004C7" w:rsidRPr="0078661F" w14:paraId="621E3DAA" w14:textId="77777777" w:rsidTr="0046743B">
        <w:trPr>
          <w:trHeight w:val="417"/>
        </w:trPr>
        <w:tc>
          <w:tcPr>
            <w:tcW w:w="3045" w:type="dxa"/>
            <w:tcBorders>
              <w:top w:val="single" w:sz="12" w:space="0" w:color="003399"/>
              <w:left w:val="single" w:sz="12" w:space="0" w:color="003399"/>
              <w:bottom w:val="single" w:sz="12" w:space="0" w:color="003399"/>
              <w:right w:val="single" w:sz="12" w:space="0" w:color="003399"/>
            </w:tcBorders>
          </w:tcPr>
          <w:p w14:paraId="3AA73D43" w14:textId="0C686E27" w:rsidR="009004C7" w:rsidRPr="009004C7" w:rsidRDefault="009004C7" w:rsidP="003C58C0">
            <w:pPr>
              <w:pStyle w:val="TableParagraph"/>
              <w:spacing w:line="360" w:lineRule="auto"/>
            </w:pPr>
            <w:r w:rsidRPr="009004C7">
              <w:t>New business model</w:t>
            </w:r>
          </w:p>
        </w:tc>
        <w:tc>
          <w:tcPr>
            <w:tcW w:w="6030" w:type="dxa"/>
            <w:tcBorders>
              <w:top w:val="single" w:sz="12" w:space="0" w:color="003399"/>
              <w:left w:val="single" w:sz="12" w:space="0" w:color="003399"/>
              <w:bottom w:val="single" w:sz="12" w:space="0" w:color="003399"/>
              <w:right w:val="single" w:sz="12" w:space="0" w:color="003399"/>
            </w:tcBorders>
          </w:tcPr>
          <w:p w14:paraId="3CE61772" w14:textId="61CCC3DA" w:rsidR="009004C7" w:rsidRPr="009004C7" w:rsidRDefault="009004C7" w:rsidP="003C58C0">
            <w:pPr>
              <w:pStyle w:val="TableParagraph"/>
              <w:spacing w:line="360" w:lineRule="auto"/>
            </w:pPr>
            <w:r w:rsidRPr="009004C7">
              <w:t>Public transport supply diversification</w:t>
            </w:r>
          </w:p>
        </w:tc>
      </w:tr>
      <w:tr w:rsidR="009004C7" w:rsidRPr="00805C22" w14:paraId="0F467DCC" w14:textId="77777777" w:rsidTr="0046743B">
        <w:trPr>
          <w:trHeight w:val="688"/>
        </w:trPr>
        <w:tc>
          <w:tcPr>
            <w:tcW w:w="3045" w:type="dxa"/>
            <w:tcBorders>
              <w:top w:val="single" w:sz="12" w:space="0" w:color="003399"/>
              <w:left w:val="single" w:sz="12" w:space="0" w:color="003399"/>
              <w:bottom w:val="single" w:sz="12" w:space="0" w:color="003399"/>
              <w:right w:val="single" w:sz="12" w:space="0" w:color="003399"/>
            </w:tcBorders>
          </w:tcPr>
          <w:p w14:paraId="69A64422" w14:textId="1D568D69" w:rsidR="009004C7" w:rsidRPr="009004C7" w:rsidRDefault="009004C7" w:rsidP="003C58C0">
            <w:pPr>
              <w:pStyle w:val="TableParagraph"/>
              <w:spacing w:line="360" w:lineRule="auto"/>
            </w:pPr>
            <w:r w:rsidRPr="009004C7">
              <w:t>Investments</w:t>
            </w:r>
          </w:p>
        </w:tc>
        <w:tc>
          <w:tcPr>
            <w:tcW w:w="6030" w:type="dxa"/>
            <w:tcBorders>
              <w:top w:val="single" w:sz="12" w:space="0" w:color="003399"/>
              <w:left w:val="single" w:sz="12" w:space="0" w:color="003399"/>
              <w:bottom w:val="single" w:sz="12" w:space="0" w:color="003399"/>
              <w:right w:val="single" w:sz="12" w:space="0" w:color="003399"/>
            </w:tcBorders>
          </w:tcPr>
          <w:p w14:paraId="2A90C79C" w14:textId="07826E9F" w:rsidR="009004C7" w:rsidRPr="009004C7" w:rsidRDefault="009004C7" w:rsidP="003C58C0">
            <w:pPr>
              <w:pStyle w:val="TableParagraph"/>
              <w:spacing w:line="360" w:lineRule="auto"/>
            </w:pPr>
            <w:r w:rsidRPr="009004C7">
              <w:t>Photovoltaic Park as a result of a cross-border feasibility study</w:t>
            </w:r>
          </w:p>
        </w:tc>
      </w:tr>
      <w:tr w:rsidR="009004C7" w:rsidRPr="00805C22" w14:paraId="1620EA47" w14:textId="77777777" w:rsidTr="0046743B">
        <w:trPr>
          <w:trHeight w:val="688"/>
        </w:trPr>
        <w:tc>
          <w:tcPr>
            <w:tcW w:w="3045" w:type="dxa"/>
            <w:tcBorders>
              <w:top w:val="single" w:sz="12" w:space="0" w:color="003399"/>
              <w:left w:val="single" w:sz="12" w:space="0" w:color="003399"/>
              <w:bottom w:val="single" w:sz="12" w:space="0" w:color="003399"/>
              <w:right w:val="single" w:sz="12" w:space="0" w:color="003399"/>
            </w:tcBorders>
          </w:tcPr>
          <w:p w14:paraId="1E54B196" w14:textId="1C7BB450" w:rsidR="009004C7" w:rsidRPr="009004C7" w:rsidRDefault="009004C7" w:rsidP="003C58C0">
            <w:pPr>
              <w:pStyle w:val="TableParagraph"/>
              <w:spacing w:line="360" w:lineRule="auto"/>
            </w:pPr>
            <w:r w:rsidRPr="009004C7">
              <w:t>New university curricula</w:t>
            </w:r>
          </w:p>
        </w:tc>
        <w:tc>
          <w:tcPr>
            <w:tcW w:w="6030" w:type="dxa"/>
            <w:tcBorders>
              <w:top w:val="single" w:sz="12" w:space="0" w:color="003399"/>
              <w:left w:val="single" w:sz="12" w:space="0" w:color="003399"/>
              <w:bottom w:val="single" w:sz="12" w:space="0" w:color="003399"/>
              <w:right w:val="single" w:sz="12" w:space="0" w:color="003399"/>
            </w:tcBorders>
          </w:tcPr>
          <w:p w14:paraId="322D7CFE" w14:textId="31DA76DF" w:rsidR="009004C7" w:rsidRPr="009004C7" w:rsidRDefault="009004C7" w:rsidP="003C58C0">
            <w:pPr>
              <w:pStyle w:val="TableParagraph"/>
              <w:spacing w:line="360" w:lineRule="auto"/>
            </w:pPr>
            <w:r w:rsidRPr="009004C7">
              <w:t xml:space="preserve">Alignment of education and demands of the </w:t>
            </w:r>
            <w:r w:rsidRPr="009004C7">
              <w:lastRenderedPageBreak/>
              <w:t>maritime industry</w:t>
            </w:r>
          </w:p>
        </w:tc>
      </w:tr>
    </w:tbl>
    <w:p w14:paraId="3DCF54A1" w14:textId="77777777" w:rsidR="0046743B" w:rsidRDefault="0046743B" w:rsidP="003C58C0">
      <w:pPr>
        <w:spacing w:line="360" w:lineRule="auto"/>
      </w:pPr>
    </w:p>
    <w:p w14:paraId="23A61457" w14:textId="77777777" w:rsidR="005B5CB7" w:rsidRPr="00C70B59" w:rsidRDefault="005B5CB7" w:rsidP="003C58C0">
      <w:pPr>
        <w:spacing w:line="360" w:lineRule="auto"/>
      </w:pPr>
      <w:bookmarkStart w:id="192" w:name="_Hlk116633734"/>
      <w:r w:rsidRPr="00C70B59">
        <w:t>Obligations of project partners:</w:t>
      </w:r>
    </w:p>
    <w:p w14:paraId="7FFB9905" w14:textId="55F78FFA" w:rsidR="005B5CB7" w:rsidRPr="00C70B59" w:rsidRDefault="0046743B" w:rsidP="003C58C0">
      <w:pPr>
        <w:pStyle w:val="ListParagraph"/>
        <w:numPr>
          <w:ilvl w:val="0"/>
          <w:numId w:val="22"/>
        </w:numPr>
        <w:spacing w:line="360" w:lineRule="auto"/>
      </w:pPr>
      <w:r>
        <w:t>To</w:t>
      </w:r>
      <w:r w:rsidR="00D11EC5" w:rsidRPr="00C70B59">
        <w:t xml:space="preserve"> </w:t>
      </w:r>
      <w:r w:rsidR="005B5CB7" w:rsidRPr="00C70B59">
        <w:t xml:space="preserve">pay attention to </w:t>
      </w:r>
      <w:r w:rsidR="00D11EC5" w:rsidRPr="00C70B59">
        <w:t>the information</w:t>
      </w:r>
      <w:r w:rsidR="005B5CB7" w:rsidRPr="00C70B59">
        <w:t xml:space="preserve"> declared in the Application Form</w:t>
      </w:r>
      <w:r w:rsidR="00C32F77" w:rsidRPr="00C70B59">
        <w:t xml:space="preserve"> – </w:t>
      </w:r>
      <w:r w:rsidR="005B5CB7" w:rsidRPr="00C70B59">
        <w:t xml:space="preserve">how </w:t>
      </w:r>
      <w:r w:rsidR="003B6D54" w:rsidRPr="00C70B59">
        <w:t xml:space="preserve">will the </w:t>
      </w:r>
      <w:r w:rsidR="005B5CB7" w:rsidRPr="00C70B59">
        <w:t>provided project outputs and results be maintained after project closure</w:t>
      </w:r>
      <w:r w:rsidR="00D11EC5" w:rsidRPr="00C70B59">
        <w:t>?</w:t>
      </w:r>
      <w:r w:rsidR="008E431F" w:rsidRPr="00C70B59">
        <w:t xml:space="preserve"> </w:t>
      </w:r>
      <w:bookmarkStart w:id="193" w:name="_Hlk117156474"/>
      <w:r w:rsidR="005948DC" w:rsidRPr="00C70B59">
        <w:t xml:space="preserve">All equipment and devices (incl. digital tools) that serve to support the project outputs </w:t>
      </w:r>
      <w:bookmarkEnd w:id="193"/>
      <w:r w:rsidR="005948DC" w:rsidRPr="00C70B59">
        <w:t xml:space="preserve">should be maintained during </w:t>
      </w:r>
      <w:r w:rsidR="003B6D54" w:rsidRPr="00C70B59">
        <w:t xml:space="preserve">the </w:t>
      </w:r>
      <w:r w:rsidR="005948DC" w:rsidRPr="00C70B59">
        <w:t xml:space="preserve">durability period which is </w:t>
      </w:r>
      <w:r w:rsidR="009E3953" w:rsidRPr="00C70B59">
        <w:t>counted</w:t>
      </w:r>
      <w:r w:rsidR="005948DC" w:rsidRPr="00C70B59">
        <w:t xml:space="preserve"> </w:t>
      </w:r>
      <w:r w:rsidR="003B6D54" w:rsidRPr="00C70B59">
        <w:t xml:space="preserve">as </w:t>
      </w:r>
      <w:r w:rsidR="005948DC" w:rsidRPr="00C70B59">
        <w:t xml:space="preserve">5 years from the final payment to </w:t>
      </w:r>
      <w:r w:rsidR="005630EF" w:rsidRPr="00C70B59">
        <w:t xml:space="preserve">the </w:t>
      </w:r>
      <w:r w:rsidR="008122ED" w:rsidRPr="00C70B59">
        <w:t>l</w:t>
      </w:r>
      <w:r w:rsidR="00D45EFF" w:rsidRPr="00C70B59">
        <w:t>ead partner</w:t>
      </w:r>
      <w:r w:rsidR="005948DC" w:rsidRPr="00C70B59">
        <w:t>.</w:t>
      </w:r>
    </w:p>
    <w:p w14:paraId="3B474C4E" w14:textId="6D476DA3" w:rsidR="005B5CB7" w:rsidRPr="00C70B59" w:rsidRDefault="00D11EC5" w:rsidP="003C58C0">
      <w:pPr>
        <w:pStyle w:val="ListParagraph"/>
        <w:numPr>
          <w:ilvl w:val="0"/>
          <w:numId w:val="22"/>
        </w:numPr>
        <w:spacing w:line="360" w:lineRule="auto"/>
      </w:pPr>
      <w:r w:rsidRPr="00C70B59">
        <w:t>to monitor</w:t>
      </w:r>
      <w:r w:rsidR="005B5CB7" w:rsidRPr="00C70B59">
        <w:t xml:space="preserve"> </w:t>
      </w:r>
      <w:r w:rsidR="003B6D54" w:rsidRPr="00C70B59">
        <w:t xml:space="preserve">the </w:t>
      </w:r>
      <w:r w:rsidR="005B5CB7" w:rsidRPr="00C70B59">
        <w:t xml:space="preserve">tangible impacts and </w:t>
      </w:r>
      <w:r w:rsidR="003B6D54" w:rsidRPr="00C70B59">
        <w:t xml:space="preserve">track the </w:t>
      </w:r>
      <w:r w:rsidR="005B5CB7" w:rsidRPr="00C70B59">
        <w:t>ripple effects (e.g.</w:t>
      </w:r>
      <w:r w:rsidRPr="00C70B59">
        <w:t>,</w:t>
      </w:r>
      <w:r w:rsidR="005B5CB7" w:rsidRPr="00C70B59">
        <w:t xml:space="preserve"> by means of statistics,</w:t>
      </w:r>
      <w:r w:rsidRPr="00C70B59">
        <w:t xml:space="preserve"> </w:t>
      </w:r>
      <w:r w:rsidR="005B5CB7" w:rsidRPr="00C70B59">
        <w:t>individual success stories, testimonials of end users or endorsements by reputable figures) after the project closure</w:t>
      </w:r>
      <w:r w:rsidR="0046743B">
        <w:t>.</w:t>
      </w:r>
    </w:p>
    <w:p w14:paraId="64F13FF1" w14:textId="559C6B33" w:rsidR="005B5CB7" w:rsidRPr="00C70B59" w:rsidRDefault="0046743B" w:rsidP="003C58C0">
      <w:pPr>
        <w:pStyle w:val="ListParagraph"/>
        <w:numPr>
          <w:ilvl w:val="0"/>
          <w:numId w:val="22"/>
        </w:numPr>
        <w:spacing w:line="360" w:lineRule="auto"/>
      </w:pPr>
      <w:bookmarkStart w:id="194" w:name="_Hlk117067204"/>
      <w:r>
        <w:t>To</w:t>
      </w:r>
      <w:r w:rsidR="00D11EC5" w:rsidRPr="00C70B59">
        <w:t xml:space="preserve"> be aware of the</w:t>
      </w:r>
      <w:r w:rsidR="00221649" w:rsidRPr="00C70B59">
        <w:t xml:space="preserve"> special requirements on ownership and durability laid down in Article 65 of the Regulation (EU) No 2021/1060 (Common Provisions Regulation)</w:t>
      </w:r>
      <w:r w:rsidR="00D11EC5" w:rsidRPr="00C70B59">
        <w:t xml:space="preserve"> </w:t>
      </w:r>
      <w:r w:rsidR="005B5CB7" w:rsidRPr="00C70B59">
        <w:t>if delivering</w:t>
      </w:r>
      <w:r w:rsidR="005B5CB7" w:rsidRPr="008E3CA3">
        <w:rPr>
          <w:rFonts w:ascii="Segoe UI" w:hAnsi="Segoe UI" w:cs="Segoe UI"/>
          <w:lang w:val="en-GB"/>
        </w:rPr>
        <w:t xml:space="preserve"> investments </w:t>
      </w:r>
      <w:r w:rsidR="005B5CB7" w:rsidRPr="00C70B59">
        <w:t xml:space="preserve">with investment in infrastructure or productive investments as </w:t>
      </w:r>
      <w:r w:rsidR="00221649" w:rsidRPr="00C70B59">
        <w:t>the project</w:t>
      </w:r>
      <w:r w:rsidR="003B6D54" w:rsidRPr="00C70B59">
        <w:t>’s</w:t>
      </w:r>
      <w:r w:rsidR="00221649" w:rsidRPr="00C70B59">
        <w:t xml:space="preserve"> </w:t>
      </w:r>
      <w:r w:rsidR="005B5CB7" w:rsidRPr="00C70B59">
        <w:t>main outputs</w:t>
      </w:r>
      <w:r>
        <w:t>.</w:t>
      </w:r>
      <w:r w:rsidR="005B5CB7" w:rsidRPr="00C70B59">
        <w:t xml:space="preserve"> </w:t>
      </w:r>
    </w:p>
    <w:bookmarkEnd w:id="194"/>
    <w:p w14:paraId="5DBA2649" w14:textId="203C3276" w:rsidR="005B5CB7" w:rsidRPr="00C70B59" w:rsidRDefault="0046743B" w:rsidP="003C58C0">
      <w:pPr>
        <w:pStyle w:val="ListParagraph"/>
        <w:numPr>
          <w:ilvl w:val="0"/>
          <w:numId w:val="22"/>
        </w:numPr>
        <w:spacing w:line="360" w:lineRule="auto"/>
      </w:pPr>
      <w:r>
        <w:t>To</w:t>
      </w:r>
      <w:r w:rsidR="00221649" w:rsidRPr="00C70B59">
        <w:t xml:space="preserve"> </w:t>
      </w:r>
      <w:r w:rsidR="005B5CB7" w:rsidRPr="00C70B59">
        <w:t xml:space="preserve">save the documents proving </w:t>
      </w:r>
      <w:r w:rsidR="003B6D54" w:rsidRPr="00C70B59">
        <w:t xml:space="preserve">the </w:t>
      </w:r>
      <w:r w:rsidR="005B5CB7" w:rsidRPr="00C70B59">
        <w:t xml:space="preserve">durability of </w:t>
      </w:r>
      <w:r w:rsidR="003B6D54" w:rsidRPr="00C70B59">
        <w:t xml:space="preserve">the </w:t>
      </w:r>
      <w:r w:rsidR="005B5CB7" w:rsidRPr="00C70B59">
        <w:t xml:space="preserve">project outputs and results </w:t>
      </w:r>
      <w:r w:rsidR="00171FF6" w:rsidRPr="00C70B59">
        <w:t xml:space="preserve">up to 5 years from 31 December of the year in which the final payment to the project is made to the </w:t>
      </w:r>
      <w:r w:rsidR="008122ED" w:rsidRPr="00C70B59">
        <w:t>l</w:t>
      </w:r>
      <w:r w:rsidR="00D45EFF" w:rsidRPr="00C70B59">
        <w:t>ead partner</w:t>
      </w:r>
      <w:r>
        <w:t>.</w:t>
      </w:r>
    </w:p>
    <w:p w14:paraId="52DB952E" w14:textId="3D44CBF5" w:rsidR="005B5CB7" w:rsidRPr="00C70B59" w:rsidRDefault="0046743B" w:rsidP="003C58C0">
      <w:pPr>
        <w:pStyle w:val="ListParagraph"/>
        <w:numPr>
          <w:ilvl w:val="0"/>
          <w:numId w:val="22"/>
        </w:numPr>
        <w:spacing w:line="360" w:lineRule="auto"/>
      </w:pPr>
      <w:r>
        <w:t>To</w:t>
      </w:r>
      <w:r w:rsidR="00221649" w:rsidRPr="00C70B59">
        <w:t xml:space="preserve"> </w:t>
      </w:r>
      <w:r w:rsidR="005B5CB7" w:rsidRPr="00C70B59">
        <w:t xml:space="preserve">provide the JS or other authorised control institutions with </w:t>
      </w:r>
      <w:r w:rsidR="003B6D54" w:rsidRPr="00C70B59">
        <w:t xml:space="preserve">the </w:t>
      </w:r>
      <w:r w:rsidR="005B5CB7" w:rsidRPr="00C70B59">
        <w:t xml:space="preserve">necessary documents to prove </w:t>
      </w:r>
      <w:r w:rsidR="003B6D54" w:rsidRPr="00C70B59">
        <w:t xml:space="preserve">the </w:t>
      </w:r>
      <w:r w:rsidR="005B5CB7" w:rsidRPr="00C70B59">
        <w:t xml:space="preserve">durability </w:t>
      </w:r>
      <w:r w:rsidR="003B6D54" w:rsidRPr="00C70B59">
        <w:t xml:space="preserve">of the </w:t>
      </w:r>
      <w:r w:rsidR="005B5CB7" w:rsidRPr="00C70B59">
        <w:t>project outputs and results.</w:t>
      </w:r>
    </w:p>
    <w:p w14:paraId="0D546D3C" w14:textId="697F3CDC" w:rsidR="0046743B" w:rsidRDefault="005B5CB7" w:rsidP="003C58C0">
      <w:pPr>
        <w:spacing w:line="360" w:lineRule="auto"/>
      </w:pPr>
      <w:r w:rsidRPr="00C70B59">
        <w:t xml:space="preserve">The JS will monitor the compliance of the projects with </w:t>
      </w:r>
      <w:r w:rsidR="003B6D54" w:rsidRPr="00C70B59">
        <w:t xml:space="preserve">the </w:t>
      </w:r>
      <w:r w:rsidRPr="00C70B59">
        <w:t xml:space="preserve">durability requirements </w:t>
      </w:r>
      <w:r w:rsidR="003B6D54" w:rsidRPr="00C70B59">
        <w:t>from</w:t>
      </w:r>
      <w:r w:rsidRPr="00C70B59">
        <w:t xml:space="preserve"> the project completion. This will require contacts with project </w:t>
      </w:r>
      <w:r w:rsidRPr="00C70B59">
        <w:lastRenderedPageBreak/>
        <w:t>partners selected for durability check</w:t>
      </w:r>
      <w:r w:rsidR="003B6D54" w:rsidRPr="00C70B59">
        <w:t>s</w:t>
      </w:r>
      <w:r w:rsidRPr="00C70B59">
        <w:t xml:space="preserve">. The JS will carry out the monitoring up to 5 years from the final payment transferred to the </w:t>
      </w:r>
      <w:r w:rsidR="008122ED" w:rsidRPr="00C70B59">
        <w:t>l</w:t>
      </w:r>
      <w:r w:rsidR="00D45EFF" w:rsidRPr="00C70B59">
        <w:t>ead partner</w:t>
      </w:r>
      <w:r w:rsidRPr="00C70B59">
        <w:t xml:space="preserve">. </w:t>
      </w:r>
      <w:bookmarkEnd w:id="192"/>
    </w:p>
    <w:p w14:paraId="34CB82D4" w14:textId="77B287D1" w:rsidR="005B5CB7" w:rsidRPr="00C70B59" w:rsidRDefault="005B5CB7" w:rsidP="003C58C0">
      <w:pPr>
        <w:spacing w:line="360" w:lineRule="auto"/>
      </w:pPr>
      <w:r w:rsidRPr="00C70B59">
        <w:t xml:space="preserve">In case of </w:t>
      </w:r>
      <w:r w:rsidR="003B6D54" w:rsidRPr="00C70B59">
        <w:t xml:space="preserve">a </w:t>
      </w:r>
      <w:r w:rsidRPr="00C70B59">
        <w:t>durability breach</w:t>
      </w:r>
      <w:r w:rsidR="003B6D54" w:rsidRPr="00C70B59">
        <w:t>,</w:t>
      </w:r>
      <w:r w:rsidRPr="00C70B59">
        <w:t xml:space="preserve"> ineligible expenditure will be recovered by the MA in proportion to the period for which the durability requirements have not been fulfilled.</w:t>
      </w:r>
    </w:p>
    <w:p w14:paraId="67026379" w14:textId="489C513A" w:rsidR="00CB6158" w:rsidRPr="007A42BC" w:rsidRDefault="006D77D6" w:rsidP="003C58C0">
      <w:pPr>
        <w:spacing w:line="360" w:lineRule="auto"/>
        <w:rPr>
          <w:lang w:val="en-GB"/>
        </w:rPr>
      </w:pPr>
      <w:r>
        <w:rPr>
          <w:noProof/>
        </w:rPr>
        <mc:AlternateContent>
          <mc:Choice Requires="wps">
            <w:drawing>
              <wp:inline distT="0" distB="0" distL="0" distR="0" wp14:anchorId="4E6A8196" wp14:editId="4369D926">
                <wp:extent cx="5786755" cy="1085850"/>
                <wp:effectExtent l="0" t="0" r="23495" b="19050"/>
                <wp:docPr id="12929910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6755" cy="1085850"/>
                        </a:xfrm>
                        <a:prstGeom prst="rect">
                          <a:avLst/>
                        </a:prstGeom>
                        <a:ln w="12700">
                          <a:solidFill>
                            <a:srgbClr val="003399"/>
                          </a:solidFill>
                          <a:prstDash val="solid"/>
                        </a:ln>
                      </wps:spPr>
                      <wps:txbx>
                        <w:txbxContent>
                          <w:p w14:paraId="7F08D5CE" w14:textId="77777777" w:rsidR="006D77D6" w:rsidRPr="006D77D6" w:rsidRDefault="006D77D6" w:rsidP="006D77D6">
                            <w:pPr>
                              <w:pStyle w:val="BodyText"/>
                              <w:rPr>
                                <w:rFonts w:ascii="Open Sans ExtraBold" w:eastAsiaTheme="minorHAnsi" w:hAnsiTheme="minorHAnsi" w:cstheme="minorBidi"/>
                                <w:b/>
                                <w:color w:val="003399"/>
                                <w:spacing w:val="-2"/>
                                <w:sz w:val="24"/>
                                <w:szCs w:val="28"/>
                                <w:lang w:eastAsia="en-US"/>
                              </w:rPr>
                            </w:pPr>
                            <w:r w:rsidRPr="006D77D6">
                              <w:rPr>
                                <w:rFonts w:ascii="Open Sans ExtraBold" w:eastAsiaTheme="minorHAnsi" w:hAnsiTheme="minorHAnsi" w:cstheme="minorBidi"/>
                                <w:b/>
                                <w:color w:val="003399"/>
                                <w:spacing w:val="-2"/>
                                <w:sz w:val="24"/>
                                <w:szCs w:val="28"/>
                                <w:lang w:eastAsia="en-US"/>
                              </w:rPr>
                              <w:t>NB:</w:t>
                            </w:r>
                          </w:p>
                          <w:p w14:paraId="10FF3ADF" w14:textId="77777777" w:rsidR="006D77D6" w:rsidRPr="006D77D6" w:rsidRDefault="006D77D6" w:rsidP="006D77D6">
                            <w:pPr>
                              <w:pStyle w:val="BodyText"/>
                              <w:rPr>
                                <w:rFonts w:ascii="Open Sans" w:eastAsiaTheme="minorHAnsi" w:hAnsi="Open Sans" w:cstheme="minorBidi"/>
                                <w:color w:val="auto"/>
                                <w:sz w:val="24"/>
                                <w:szCs w:val="22"/>
                                <w:lang w:eastAsia="en-US"/>
                              </w:rPr>
                            </w:pPr>
                            <w:r w:rsidRPr="006D77D6">
                              <w:rPr>
                                <w:rFonts w:ascii="Open Sans" w:eastAsiaTheme="minorHAnsi" w:hAnsi="Open Sans" w:cstheme="minorBidi"/>
                                <w:color w:val="auto"/>
                                <w:sz w:val="24"/>
                                <w:szCs w:val="22"/>
                                <w:lang w:eastAsia="en-US"/>
                              </w:rPr>
                              <w:t xml:space="preserve">The exception to the durability principle is when the project partner undergoes cessation of a productive activity due to a </w:t>
                            </w:r>
                            <w:r w:rsidRPr="006D77D6">
                              <w:rPr>
                                <w:rFonts w:ascii="Open Sans SemiBold" w:eastAsia="Open Sans SemiBold" w:hAnsi="Open Sans SemiBold" w:cs="Open Sans SemiBold"/>
                                <w:bCs/>
                                <w:color w:val="003399"/>
                                <w:sz w:val="24"/>
                                <w:lang w:eastAsia="en-US"/>
                              </w:rPr>
                              <w:t>non-fraudulent bankruptcy</w:t>
                            </w:r>
                            <w:r w:rsidRPr="006D77D6">
                              <w:rPr>
                                <w:rFonts w:ascii="Open Sans" w:eastAsiaTheme="minorHAnsi" w:hAnsi="Open Sans" w:cstheme="minorBidi"/>
                                <w:color w:val="auto"/>
                                <w:sz w:val="24"/>
                                <w:szCs w:val="22"/>
                                <w:lang w:eastAsia="en-US"/>
                              </w:rPr>
                              <w:t>.</w:t>
                            </w:r>
                          </w:p>
                          <w:p w14:paraId="2A823A61" w14:textId="77777777" w:rsidR="006D77D6" w:rsidRPr="00216E5C" w:rsidRDefault="006D77D6" w:rsidP="006D77D6">
                            <w:pPr>
                              <w:pStyle w:val="BodyText"/>
                              <w:rPr>
                                <w:rFonts w:eastAsia="Open Sans"/>
                              </w:rPr>
                            </w:pPr>
                          </w:p>
                        </w:txbxContent>
                      </wps:txbx>
                      <wps:bodyPr wrap="square" lIns="0" tIns="0" rIns="0" bIns="0" rtlCol="0">
                        <a:noAutofit/>
                      </wps:bodyPr>
                    </wps:wsp>
                  </a:graphicData>
                </a:graphic>
              </wp:inline>
            </w:drawing>
          </mc:Choice>
          <mc:Fallback>
            <w:pict>
              <v:shape w14:anchorId="4E6A8196" id="_x0000_s1087" type="#_x0000_t202" style="width:455.65pt;height: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" filled="f" strokecolor="#039" strokeweight="1pt">
                <v:path arrowok="t"/>
                <v:textbox inset="0,0,0,0">
                  <w:txbxContent>
                    <w:p w14:paraId="7F08D5CE" w14:textId="77777777" w:rsidR="006D77D6" w:rsidRPr="006D77D6" w:rsidRDefault="006D77D6" w:rsidP="006D77D6">
                      <w:pPr>
                        <w:pStyle w:val="BodyText"/>
                        <w:rPr>
                          <w:rFonts w:ascii="Open Sans ExtraBold" w:eastAsiaTheme="minorHAnsi" w:hAnsiTheme="minorHAnsi" w:cstheme="minorBidi"/>
                          <w:b/>
                          <w:color w:val="003399"/>
                          <w:spacing w:val="-2"/>
                          <w:sz w:val="24"/>
                          <w:szCs w:val="28"/>
                          <w:lang w:eastAsia="en-US"/>
                        </w:rPr>
                      </w:pPr>
                      <w:r w:rsidRPr="006D77D6">
                        <w:rPr>
                          <w:rFonts w:ascii="Open Sans ExtraBold" w:eastAsiaTheme="minorHAnsi" w:hAnsiTheme="minorHAnsi" w:cstheme="minorBidi"/>
                          <w:b/>
                          <w:color w:val="003399"/>
                          <w:spacing w:val="-2"/>
                          <w:sz w:val="24"/>
                          <w:szCs w:val="28"/>
                          <w:lang w:eastAsia="en-US"/>
                        </w:rPr>
                        <w:t>NB:</w:t>
                      </w:r>
                    </w:p>
                    <w:p w14:paraId="10FF3ADF" w14:textId="77777777" w:rsidR="006D77D6" w:rsidRPr="006D77D6" w:rsidRDefault="006D77D6" w:rsidP="006D77D6">
                      <w:pPr>
                        <w:pStyle w:val="BodyText"/>
                        <w:rPr>
                          <w:rFonts w:ascii="Open Sans" w:eastAsiaTheme="minorHAnsi" w:hAnsi="Open Sans" w:cstheme="minorBidi"/>
                          <w:color w:val="auto"/>
                          <w:sz w:val="24"/>
                          <w:szCs w:val="22"/>
                          <w:lang w:eastAsia="en-US"/>
                        </w:rPr>
                      </w:pPr>
                      <w:r w:rsidRPr="006D77D6">
                        <w:rPr>
                          <w:rFonts w:ascii="Open Sans" w:eastAsiaTheme="minorHAnsi" w:hAnsi="Open Sans" w:cstheme="minorBidi"/>
                          <w:color w:val="auto"/>
                          <w:sz w:val="24"/>
                          <w:szCs w:val="22"/>
                          <w:lang w:eastAsia="en-US"/>
                        </w:rPr>
                        <w:t xml:space="preserve">The exception to the durability principle is when the project partner undergoes cessation of a productive activity due to a </w:t>
                      </w:r>
                      <w:r w:rsidRPr="006D77D6">
                        <w:rPr>
                          <w:rFonts w:ascii="Open Sans SemiBold" w:eastAsia="Open Sans SemiBold" w:hAnsi="Open Sans SemiBold" w:cs="Open Sans SemiBold"/>
                          <w:bCs/>
                          <w:color w:val="003399"/>
                          <w:sz w:val="24"/>
                          <w:lang w:eastAsia="en-US"/>
                        </w:rPr>
                        <w:t>non-fraudulent bankruptcy</w:t>
                      </w:r>
                      <w:r w:rsidRPr="006D77D6">
                        <w:rPr>
                          <w:rFonts w:ascii="Open Sans" w:eastAsiaTheme="minorHAnsi" w:hAnsi="Open Sans" w:cstheme="minorBidi"/>
                          <w:color w:val="auto"/>
                          <w:sz w:val="24"/>
                          <w:szCs w:val="22"/>
                          <w:lang w:eastAsia="en-US"/>
                        </w:rPr>
                        <w:t>.</w:t>
                      </w:r>
                    </w:p>
                    <w:p w14:paraId="2A823A61" w14:textId="77777777" w:rsidR="006D77D6" w:rsidRPr="00216E5C" w:rsidRDefault="006D77D6" w:rsidP="006D77D6">
                      <w:pPr>
                        <w:pStyle w:val="BodyText"/>
                        <w:rPr>
                          <w:rFonts w:eastAsia="Open Sans"/>
                        </w:rPr>
                      </w:pPr>
                    </w:p>
                  </w:txbxContent>
                </v:textbox>
                <w10:anchorlock/>
              </v:shape>
            </w:pict>
          </mc:Fallback>
        </mc:AlternateContent>
      </w:r>
    </w:p>
    <w:sectPr w:rsidR="00CB6158" w:rsidRPr="007A42BC" w:rsidSect="00805C22">
      <w:headerReference w:type="default" r:id="rId61"/>
      <w:footerReference w:type="default" r:id="rId62"/>
      <w:type w:val="continuous"/>
      <w:pgSz w:w="11906" w:h="16838"/>
      <w:pgMar w:top="900" w:right="1376" w:bottom="1417" w:left="1417"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80BA" w14:textId="77777777" w:rsidR="008E0695" w:rsidRDefault="008E0695" w:rsidP="00805C22">
      <w:r>
        <w:separator/>
      </w:r>
    </w:p>
  </w:endnote>
  <w:endnote w:type="continuationSeparator" w:id="0">
    <w:p w14:paraId="3854FB34" w14:textId="77777777" w:rsidR="008E0695" w:rsidRDefault="008E0695" w:rsidP="0080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Open Sans SemiBold">
    <w:altName w:val="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Open Sans ExtraBold">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688060"/>
      <w:docPartObj>
        <w:docPartGallery w:val="Page Numbers (Bottom of Page)"/>
        <w:docPartUnique/>
      </w:docPartObj>
    </w:sdtPr>
    <w:sdtEndPr>
      <w:rPr>
        <w:b/>
        <w:bCs/>
        <w:noProof/>
      </w:rPr>
    </w:sdtEndPr>
    <w:sdtContent>
      <w:p w14:paraId="3091CA7C" w14:textId="75EBC41D" w:rsidR="00CF739A" w:rsidRDefault="00CF739A">
        <w:pPr>
          <w:pStyle w:val="Footer"/>
          <w:jc w:val="right"/>
        </w:pPr>
        <w:r w:rsidRPr="00CF739A">
          <w:rPr>
            <w:b/>
            <w:bCs/>
          </w:rPr>
          <w:fldChar w:fldCharType="begin"/>
        </w:r>
        <w:r w:rsidRPr="00CF739A">
          <w:rPr>
            <w:b/>
            <w:bCs/>
          </w:rPr>
          <w:instrText xml:space="preserve"> PAGE   \* MERGEFORMAT </w:instrText>
        </w:r>
        <w:r w:rsidRPr="00CF739A">
          <w:rPr>
            <w:b/>
            <w:bCs/>
          </w:rPr>
          <w:fldChar w:fldCharType="separate"/>
        </w:r>
        <w:r w:rsidRPr="00CF739A">
          <w:rPr>
            <w:b/>
            <w:bCs/>
            <w:noProof/>
          </w:rPr>
          <w:t>2</w:t>
        </w:r>
        <w:r w:rsidRPr="00CF739A">
          <w:rPr>
            <w:b/>
            <w:bCs/>
            <w:noProof/>
          </w:rPr>
          <w:fldChar w:fldCharType="end"/>
        </w:r>
      </w:p>
    </w:sdtContent>
  </w:sdt>
  <w:p w14:paraId="033ECB50" w14:textId="0D5F54D7" w:rsidR="000E5F5D" w:rsidRDefault="000E5F5D" w:rsidP="00805C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A6B8" w14:textId="77777777" w:rsidR="008E0695" w:rsidRDefault="008E0695" w:rsidP="00805C22">
      <w:r>
        <w:separator/>
      </w:r>
    </w:p>
  </w:footnote>
  <w:footnote w:type="continuationSeparator" w:id="0">
    <w:p w14:paraId="6821D854" w14:textId="77777777" w:rsidR="008E0695" w:rsidRDefault="008E0695" w:rsidP="00805C22">
      <w:r>
        <w:continuationSeparator/>
      </w:r>
    </w:p>
  </w:footnote>
  <w:footnote w:id="1">
    <w:p w14:paraId="43C21029" w14:textId="75546EC2" w:rsidR="008D4534" w:rsidRPr="00CF739A" w:rsidRDefault="008D4534" w:rsidP="00805C22">
      <w:pPr>
        <w:pStyle w:val="FootnoteText"/>
        <w:rPr>
          <w:rFonts w:ascii="Open Sans" w:hAnsi="Open Sans" w:cs="Open Sans"/>
          <w:color w:val="auto"/>
        </w:rPr>
      </w:pPr>
      <w:r w:rsidRPr="00CF739A">
        <w:rPr>
          <w:rStyle w:val="FootnoteReference"/>
          <w:rFonts w:ascii="Open Sans" w:hAnsi="Open Sans" w:cs="Open Sans"/>
          <w:color w:val="auto"/>
        </w:rPr>
        <w:footnoteRef/>
      </w:r>
      <w:r w:rsidRPr="00CF739A">
        <w:rPr>
          <w:rFonts w:ascii="Open Sans" w:hAnsi="Open Sans" w:cs="Open Sans"/>
          <w:color w:val="auto"/>
        </w:rPr>
        <w:t xml:space="preserve"> </w:t>
      </w:r>
      <w:r w:rsidRPr="00CF739A">
        <w:rPr>
          <w:rFonts w:ascii="Open Sans" w:hAnsi="Open Sans" w:cs="Open Sans"/>
          <w:color w:val="auto"/>
          <w:lang w:val="en-GB"/>
        </w:rPr>
        <w:t>According to the Polish Partnership Agreement cohesion policy support will only be provided to projects and partners that comply with the anti-discrimination provisions referred to in Article 9(3) of Regulation (EU) 2021/1060. Where the partner is a local self-government unit (or an entity controlled by or dependent on it)</w:t>
      </w:r>
      <w:r w:rsidRPr="00CF739A">
        <w:rPr>
          <w:color w:val="auto"/>
          <w:lang w:val="en-GB"/>
        </w:rPr>
        <w:t xml:space="preserve"> </w:t>
      </w:r>
      <w:r w:rsidRPr="00CF739A">
        <w:rPr>
          <w:rFonts w:ascii="Open Sans" w:hAnsi="Open Sans" w:cs="Open Sans"/>
          <w:color w:val="auto"/>
          <w:lang w:val="en-GB"/>
        </w:rPr>
        <w:t>which has taken any discriminatory action contrary to the principles</w:t>
      </w:r>
      <w:r w:rsidRPr="00CF739A">
        <w:rPr>
          <w:color w:val="auto"/>
          <w:lang w:val="en-GB"/>
        </w:rPr>
        <w:t xml:space="preserve"> </w:t>
      </w:r>
      <w:r w:rsidRPr="00CF739A">
        <w:rPr>
          <w:rFonts w:ascii="Open Sans" w:hAnsi="Open Sans" w:cs="Open Sans"/>
          <w:color w:val="auto"/>
          <w:lang w:val="en-GB"/>
        </w:rPr>
        <w:t>referred to in the above-mentioned article, support under cohesion policy cannot be granted.</w:t>
      </w:r>
      <w:r w:rsidRPr="00CF739A">
        <w:rPr>
          <w:rFonts w:ascii="Open Sans" w:hAnsi="Open Sans" w:cs="Open Sans"/>
          <w:color w:val="auto"/>
        </w:rPr>
        <w:t xml:space="preserve">  </w:t>
      </w:r>
    </w:p>
  </w:footnote>
  <w:footnote w:id="2">
    <w:p w14:paraId="46FB4BD2" w14:textId="2D7E28B2" w:rsidR="008D4534" w:rsidRPr="00CF739A" w:rsidRDefault="008D4534" w:rsidP="00805C22">
      <w:pPr>
        <w:pStyle w:val="FootnoteText"/>
        <w:rPr>
          <w:rFonts w:ascii="Open Sans" w:hAnsi="Open Sans" w:cs="Open Sans"/>
          <w:color w:val="auto"/>
        </w:rPr>
      </w:pPr>
      <w:r w:rsidRPr="00CF739A">
        <w:rPr>
          <w:rStyle w:val="FootnoteReference"/>
          <w:rFonts w:ascii="Open Sans" w:hAnsi="Open Sans" w:cs="Open Sans"/>
          <w:color w:val="auto"/>
        </w:rPr>
        <w:footnoteRef/>
      </w:r>
      <w:r w:rsidRPr="00CF739A">
        <w:rPr>
          <w:rFonts w:ascii="Open Sans" w:hAnsi="Open Sans" w:cs="Open Sans"/>
          <w:color w:val="auto"/>
        </w:rPr>
        <w:t xml:space="preserve"> </w:t>
      </w:r>
      <w:r w:rsidRPr="00CF739A">
        <w:rPr>
          <w:rFonts w:ascii="Open Sans" w:hAnsi="Open Sans" w:cs="Open Sans"/>
          <w:color w:val="auto"/>
          <w:lang w:val="en-GB"/>
        </w:rPr>
        <w:t>Guidance on ensuring the respect for the Charter of Fundamental Rights of the European Union when implementing the European Structural and Investment Funds (‘ESI Funds’).</w:t>
      </w:r>
    </w:p>
  </w:footnote>
  <w:footnote w:id="3">
    <w:p w14:paraId="11D4EEE0" w14:textId="53FA6E40" w:rsidR="008D4534" w:rsidRPr="00CF739A" w:rsidRDefault="008D4534" w:rsidP="00805C22">
      <w:pPr>
        <w:pStyle w:val="FootnoteText"/>
        <w:rPr>
          <w:rFonts w:ascii="Open Sans" w:hAnsi="Open Sans" w:cs="Open Sans"/>
          <w:color w:val="auto"/>
        </w:rPr>
      </w:pPr>
      <w:r w:rsidRPr="00CF739A">
        <w:rPr>
          <w:rStyle w:val="FootnoteReference"/>
          <w:rFonts w:ascii="Open Sans" w:hAnsi="Open Sans" w:cs="Open Sans"/>
          <w:color w:val="auto"/>
        </w:rPr>
        <w:footnoteRef/>
      </w:r>
      <w:r w:rsidRPr="00CF739A">
        <w:rPr>
          <w:rFonts w:ascii="Open Sans" w:hAnsi="Open Sans" w:cs="Open Sans"/>
          <w:color w:val="auto"/>
        </w:rPr>
        <w:t xml:space="preserve"> </w:t>
      </w:r>
      <w:r w:rsidRPr="00CF739A">
        <w:rPr>
          <w:rFonts w:ascii="Open Sans" w:hAnsi="Open Sans" w:cs="Open Sans"/>
          <w:color w:val="auto"/>
          <w:lang w:val="en-GB"/>
        </w:rPr>
        <w:t>Articles 9 and 73 of the Common Provisions Regulation.</w:t>
      </w:r>
    </w:p>
  </w:footnote>
  <w:footnote w:id="4">
    <w:p w14:paraId="32BEF749" w14:textId="44A2979D" w:rsidR="008D4534" w:rsidRPr="00CF739A" w:rsidRDefault="008D4534" w:rsidP="00805C22">
      <w:pPr>
        <w:pStyle w:val="FootnoteText"/>
        <w:rPr>
          <w:color w:val="auto"/>
        </w:rPr>
      </w:pPr>
      <w:r w:rsidRPr="00CF739A">
        <w:rPr>
          <w:rStyle w:val="FootnoteReference"/>
          <w:rFonts w:ascii="Open Sans" w:hAnsi="Open Sans" w:cs="Open Sans"/>
          <w:color w:val="auto"/>
        </w:rPr>
        <w:footnoteRef/>
      </w:r>
      <w:r w:rsidRPr="00CF739A">
        <w:rPr>
          <w:rFonts w:ascii="Open Sans" w:hAnsi="Open Sans" w:cs="Open Sans"/>
          <w:color w:val="auto"/>
        </w:rPr>
        <w:t xml:space="preserve"> </w:t>
      </w:r>
      <w:r w:rsidRPr="00CF739A">
        <w:rPr>
          <w:rFonts w:ascii="Open Sans" w:hAnsi="Open Sans" w:cs="Open Sans"/>
          <w:color w:val="auto"/>
          <w:lang w:val="en-GB"/>
        </w:rPr>
        <w:t>Article 22(2) of the Interreg Regulation.</w:t>
      </w:r>
    </w:p>
  </w:footnote>
  <w:footnote w:id="5">
    <w:p w14:paraId="164653FC" w14:textId="012E88E1" w:rsidR="00356E47" w:rsidRPr="004A315A" w:rsidRDefault="00356E47" w:rsidP="00805C22">
      <w:pPr>
        <w:pStyle w:val="FootnoteText"/>
        <w:rPr>
          <w:rFonts w:ascii="Open Sans" w:hAnsi="Open Sans" w:cs="Open Sans"/>
          <w:color w:val="auto"/>
        </w:rPr>
      </w:pPr>
      <w:r w:rsidRPr="004A315A">
        <w:rPr>
          <w:rStyle w:val="FootnoteReference"/>
          <w:rFonts w:ascii="Open Sans" w:hAnsi="Open Sans" w:cs="Open Sans"/>
          <w:color w:val="auto"/>
        </w:rPr>
        <w:footnoteRef/>
      </w:r>
      <w:r w:rsidRPr="004A315A">
        <w:rPr>
          <w:rFonts w:ascii="Open Sans" w:hAnsi="Open Sans" w:cs="Open Sans"/>
          <w:color w:val="auto"/>
        </w:rPr>
        <w:t xml:space="preserve"> Convention on the Rights of Persons with Disabilities: www.un.org.</w:t>
      </w:r>
    </w:p>
  </w:footnote>
  <w:footnote w:id="6">
    <w:p w14:paraId="5793A410" w14:textId="1FE8EEB1" w:rsidR="00312982" w:rsidRPr="004A315A" w:rsidRDefault="00312982" w:rsidP="00805C22">
      <w:pPr>
        <w:pStyle w:val="FootnoteText"/>
        <w:rPr>
          <w:rFonts w:ascii="Open Sans" w:hAnsi="Open Sans" w:cs="Open Sans"/>
          <w:color w:val="auto"/>
        </w:rPr>
      </w:pPr>
      <w:r w:rsidRPr="004A315A">
        <w:rPr>
          <w:rStyle w:val="FootnoteReference"/>
          <w:rFonts w:ascii="Open Sans" w:hAnsi="Open Sans" w:cs="Open Sans"/>
          <w:color w:val="auto"/>
        </w:rPr>
        <w:footnoteRef/>
      </w:r>
      <w:r w:rsidRPr="004A315A">
        <w:rPr>
          <w:rFonts w:ascii="Open Sans" w:hAnsi="Open Sans" w:cs="Open Sans"/>
          <w:color w:val="auto"/>
        </w:rPr>
        <w:t xml:space="preserve"> Articles 9 and 73 of the Common Provisions Regulation.</w:t>
      </w:r>
    </w:p>
  </w:footnote>
  <w:footnote w:id="7">
    <w:p w14:paraId="1021A458" w14:textId="76CF4C57" w:rsidR="00312982" w:rsidRDefault="00312982" w:rsidP="00805C22">
      <w:pPr>
        <w:pStyle w:val="FootnoteText"/>
      </w:pPr>
      <w:r w:rsidRPr="004A315A">
        <w:rPr>
          <w:rStyle w:val="FootnoteReference"/>
          <w:rFonts w:ascii="Open Sans" w:hAnsi="Open Sans" w:cs="Open Sans"/>
          <w:color w:val="auto"/>
        </w:rPr>
        <w:footnoteRef/>
      </w:r>
      <w:r w:rsidRPr="004A315A">
        <w:rPr>
          <w:rFonts w:ascii="Open Sans" w:hAnsi="Open Sans" w:cs="Open Sans"/>
          <w:color w:val="auto"/>
        </w:rPr>
        <w:t xml:space="preserve"> Article 22(2) of the Interreg Regulation.</w:t>
      </w:r>
    </w:p>
  </w:footnote>
  <w:footnote w:id="8">
    <w:p w14:paraId="477B955C" w14:textId="42AF7E61" w:rsidR="00312982" w:rsidRPr="004A315A" w:rsidRDefault="00312982" w:rsidP="00805C22">
      <w:pPr>
        <w:pStyle w:val="FootnoteText"/>
        <w:rPr>
          <w:rFonts w:ascii="Open Sans" w:hAnsi="Open Sans" w:cs="Open Sans"/>
        </w:rPr>
      </w:pPr>
      <w:r w:rsidRPr="004A315A">
        <w:rPr>
          <w:rStyle w:val="FootnoteReference"/>
          <w:rFonts w:ascii="Open Sans" w:hAnsi="Open Sans" w:cs="Open Sans"/>
          <w:color w:val="auto"/>
        </w:rPr>
        <w:footnoteRef/>
      </w:r>
      <w:r w:rsidRPr="004A315A">
        <w:rPr>
          <w:rFonts w:ascii="Open Sans" w:hAnsi="Open Sans" w:cs="Open Sans"/>
          <w:color w:val="auto"/>
        </w:rPr>
        <w:t xml:space="preserve"> Barriers to equality include above all: horizontal and vertical segregation in the labour market, gender pay gaps in equivalent positions performing the same duties, low accessibility of flexible working arrangements, low involvement of men in performing family responsibilities, low participation of women in decision-making processes, gender-based violence, gender invisibility in health care, insufficient pre-school or institutional care for children under 3 years of age, gender-related stereotypes in all areas, multiple (cross-) discrimination in all areas, i.e. on the grounds of two or more factors (e.g. with regard to women aged 50 or more years, persons with disabilities, members of ethnic minorities./Source: How to implement the principle of equality between women and men in the projects co-financed from the EU funds in the period 2014</w:t>
      </w:r>
      <w:r w:rsidRPr="004A315A">
        <w:rPr>
          <w:rFonts w:ascii="Open Sans" w:hAnsi="Open Sans" w:cs="Open Sans"/>
          <w:color w:val="auto"/>
        </w:rPr>
        <w:sym w:font="Symbol" w:char="F02D"/>
      </w:r>
      <w:r w:rsidRPr="004A315A">
        <w:rPr>
          <w:rFonts w:ascii="Open Sans" w:hAnsi="Open Sans" w:cs="Open Sans"/>
          <w:color w:val="auto"/>
        </w:rPr>
        <w:t>2020. Guidance for project managers and institutions of the implementation system.</w:t>
      </w:r>
    </w:p>
  </w:footnote>
  <w:footnote w:id="9">
    <w:p w14:paraId="15E76230" w14:textId="0921231C" w:rsidR="00312982" w:rsidRPr="004676B1" w:rsidRDefault="00312982"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Fonts w:ascii="Open Sans" w:hAnsi="Open Sans" w:cs="Open Sans"/>
          <w:color w:val="auto"/>
          <w:lang w:val="en-GB"/>
        </w:rPr>
        <w:t>In accordance with Article 9 of the Common Provisions Regulation, all projects financed under the programme shall be pursued in line with the objective of promoting sustainable development as set out in Article 11 TFEU (Environmental protection requirements must be integrated into the definition and implementation of the Union’s policies and activities, in particular with a view to promoting sustainable development), taking into account the UN Sustainable Development Goals (https://sdgs.un.org/goals), the Paris Agreement (https://unfccc.int/process-and-meetings/the-paris-agreement/the-paris-agreement) and the ‘do no significant harm’ principle. These projects shall be pursued in full respect of the Union’s environmental acquis.</w:t>
      </w:r>
    </w:p>
  </w:footnote>
  <w:footnote w:id="10">
    <w:p w14:paraId="6AC5D19F" w14:textId="3B40FAFB" w:rsidR="00312982" w:rsidRPr="004676B1" w:rsidRDefault="00312982" w:rsidP="00805C22">
      <w:pPr>
        <w:pStyle w:val="FootnoteText"/>
        <w:rPr>
          <w:rFonts w:ascii="Open Sans" w:hAnsi="Open Sans" w:cs="Open Sans"/>
          <w:color w:val="auto"/>
          <w:lang w:val="en-GB"/>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Fonts w:ascii="Open Sans" w:hAnsi="Open Sans" w:cs="Open Sans"/>
          <w:color w:val="auto"/>
          <w:lang w:val="en-GB"/>
        </w:rPr>
        <w:t>Projects shall select and contribute to other Programme indicators according to the focus and activities of the project.</w:t>
      </w:r>
    </w:p>
    <w:p w14:paraId="65C37FB6" w14:textId="4207AB3C" w:rsidR="00312982" w:rsidRDefault="00312982" w:rsidP="00805C22">
      <w:pPr>
        <w:pStyle w:val="FootnoteText"/>
      </w:pPr>
    </w:p>
  </w:footnote>
  <w:footnote w:id="11">
    <w:p w14:paraId="59DF62C5" w14:textId="77777777" w:rsidR="00BE7BAD" w:rsidRPr="004676B1" w:rsidRDefault="00BE7BAD"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Fonts w:ascii="Open Sans" w:hAnsi="Open Sans" w:cs="Open Sans"/>
          <w:color w:val="auto"/>
          <w:lang w:val="en-GB"/>
        </w:rPr>
        <w:t>Projects shall select and contribute to other Programme indicators according to the focus and activities of the project.</w:t>
      </w:r>
    </w:p>
  </w:footnote>
  <w:footnote w:id="12">
    <w:p w14:paraId="70ED53CE" w14:textId="650E6F0D" w:rsidR="00312982" w:rsidRDefault="00312982" w:rsidP="00805C22">
      <w:pPr>
        <w:pStyle w:val="FootnoteText"/>
      </w:pPr>
      <w:r>
        <w:rPr>
          <w:rStyle w:val="FootnoteReference"/>
        </w:rPr>
        <w:footnoteRef/>
      </w:r>
      <w:r>
        <w:t xml:space="preserve"> </w:t>
      </w:r>
      <w:r w:rsidRPr="00312982">
        <w:rPr>
          <w:lang w:val="en-GB"/>
        </w:rPr>
        <w:t>Projects shall select and contribute to other Programme indicators according to the focus and activities of the project.</w:t>
      </w:r>
    </w:p>
  </w:footnote>
  <w:footnote w:id="13">
    <w:p w14:paraId="56E4BDD6" w14:textId="42ED2216" w:rsidR="00312982" w:rsidRPr="004676B1" w:rsidRDefault="00312982"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Fonts w:ascii="Open Sans" w:hAnsi="Open Sans" w:cs="Open Sans"/>
          <w:color w:val="auto"/>
          <w:lang w:val="en-GB"/>
        </w:rPr>
        <w:t>Projects shall select and contribute to other Programme indicators according to the focus and activities of the project.</w:t>
      </w:r>
    </w:p>
  </w:footnote>
  <w:footnote w:id="14">
    <w:p w14:paraId="13C35198" w14:textId="27821F40" w:rsidR="00312982" w:rsidRPr="004676B1" w:rsidRDefault="00312982"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Fonts w:ascii="Open Sans" w:hAnsi="Open Sans" w:cs="Open Sans"/>
          <w:color w:val="auto"/>
          <w:lang w:val="en-GB"/>
        </w:rPr>
        <w:t>Projects shall select and contribute to other Programme indicators according to the focus and activities of the project.</w:t>
      </w:r>
    </w:p>
  </w:footnote>
  <w:footnote w:id="15">
    <w:p w14:paraId="1941EBE6" w14:textId="77777777" w:rsidR="00622B72" w:rsidRPr="004676B1" w:rsidRDefault="00622B72"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Fonts w:ascii="Open Sans" w:hAnsi="Open Sans" w:cs="Open Sans"/>
          <w:color w:val="auto"/>
          <w:lang w:val="en-GB"/>
        </w:rPr>
        <w:t>Projects shall select and contribute to other Programme indicators according to the focus and activities of the project.</w:t>
      </w:r>
    </w:p>
  </w:footnote>
  <w:footnote w:id="16">
    <w:p w14:paraId="569DB168" w14:textId="77777777" w:rsidR="00E537D8" w:rsidRPr="004676B1" w:rsidRDefault="00E537D8" w:rsidP="00805C22">
      <w:pPr>
        <w:pStyle w:val="FootnoteText"/>
        <w:rPr>
          <w:rFonts w:ascii="Open Sans" w:hAnsi="Open Sans" w:cs="Open Sans"/>
          <w:b/>
          <w:bC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Fonts w:ascii="Open Sans" w:hAnsi="Open Sans" w:cs="Open Sans"/>
          <w:color w:val="auto"/>
          <w:lang w:val="en-GB"/>
        </w:rPr>
        <w:t>Projects shall select and contribute to other Programme indicators according to the focus and activities of the project.</w:t>
      </w:r>
    </w:p>
  </w:footnote>
  <w:footnote w:id="17">
    <w:p w14:paraId="7D9DF8D0" w14:textId="14AB2579" w:rsidR="00B615AF" w:rsidRPr="004676B1" w:rsidRDefault="00B615AF"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See Chapter VI, Section 4, Sub-section 4.4 Prolongation of the project implementation time.</w:t>
      </w:r>
    </w:p>
  </w:footnote>
  <w:footnote w:id="18">
    <w:p w14:paraId="1841549D" w14:textId="6F27C289" w:rsidR="00312982" w:rsidRPr="004676B1" w:rsidRDefault="00312982"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Strategic status can be granted only to approved regular projects. If a project applies for strategic status, but it is not granted, the project can still be approved for funding.</w:t>
      </w:r>
    </w:p>
  </w:footnote>
  <w:footnote w:id="19">
    <w:p w14:paraId="22FE20E7" w14:textId="1CB79CC2" w:rsidR="00312982" w:rsidRPr="00312982" w:rsidRDefault="00312982"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Article 36(4)(e) of the Interreg regulation.</w:t>
      </w:r>
    </w:p>
  </w:footnote>
  <w:footnote w:id="20">
    <w:p w14:paraId="375D03E6" w14:textId="77791099" w:rsidR="00212ED7" w:rsidRPr="004676B1" w:rsidRDefault="00212ED7"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Instead of developing multiple solutions under the same project output, each solution shall be defined as a separate project output, with the targe value 1.</w:t>
      </w:r>
    </w:p>
  </w:footnote>
  <w:footnote w:id="21">
    <w:p w14:paraId="28722094" w14:textId="3544A98A" w:rsidR="00AC76D5" w:rsidRDefault="00AC76D5">
      <w:pPr>
        <w:pStyle w:val="FootnoteText"/>
      </w:pPr>
      <w:r>
        <w:rPr>
          <w:rStyle w:val="FootnoteReference"/>
        </w:rPr>
        <w:footnoteRef/>
      </w:r>
      <w:r>
        <w:t xml:space="preserve"> </w:t>
      </w:r>
      <w:r w:rsidRPr="004676B1">
        <w:rPr>
          <w:rFonts w:ascii="Open Sans" w:hAnsi="Open Sans" w:cs="Open Sans"/>
          <w:color w:val="auto"/>
        </w:rPr>
        <w:t>Limitation to EU Member States only does not apply to partners which had applied in project partnerships in the 1</w:t>
      </w:r>
      <w:r w:rsidRPr="00AC76D5">
        <w:rPr>
          <w:rFonts w:ascii="Open Sans" w:hAnsi="Open Sans" w:cs="Open Sans"/>
          <w:color w:val="auto"/>
        </w:rPr>
        <w:t>st</w:t>
      </w:r>
      <w:r w:rsidRPr="004676B1">
        <w:rPr>
          <w:rFonts w:ascii="Open Sans" w:hAnsi="Open Sans" w:cs="Open Sans"/>
          <w:color w:val="auto"/>
        </w:rPr>
        <w:t xml:space="preserve"> call for proposals.</w:t>
      </w:r>
    </w:p>
  </w:footnote>
  <w:footnote w:id="22">
    <w:p w14:paraId="3ACA0C4D" w14:textId="5296854C" w:rsidR="00212ED7" w:rsidRPr="004676B1" w:rsidRDefault="00212ED7"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On request, Lead partners should present and provide the Joint Secretariat with three years of balance sheets and employment records to prove their ability to cover potential irregularities during project implementation.</w:t>
      </w:r>
    </w:p>
  </w:footnote>
  <w:footnote w:id="23">
    <w:p w14:paraId="3BBEF3D5" w14:textId="35ED3716" w:rsidR="00212ED7" w:rsidRPr="004676B1" w:rsidRDefault="00212ED7"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On request, partners should present and provide the Joint Secretariat with supporting documents (for example, balance sheets and employment records) to prove their financial and organizational capability to participate in the project/carry out the actions planned for them and to cover potential irregularities during project implementation.</w:t>
      </w:r>
    </w:p>
  </w:footnote>
  <w:footnote w:id="24">
    <w:p w14:paraId="110E7D8D" w14:textId="77777777" w:rsidR="00CF2921" w:rsidRPr="004676B1" w:rsidRDefault="00CF2921"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This group may also cover private entities that have been authorised by law or a public body to operate for the specific purpose of meeting needs in the general interest: Such entities must prove their public service mission by sending a legally binding document confirming that the entity operates for the specific purpose of meeting needs in the general interest. Examples of the documents can be:</w:t>
      </w:r>
    </w:p>
    <w:p w14:paraId="73F341F7" w14:textId="77777777" w:rsidR="00CF2921" w:rsidRPr="004676B1" w:rsidRDefault="00CF2921" w:rsidP="00805C22">
      <w:pPr>
        <w:pStyle w:val="SBFOOTNOTE"/>
        <w:rPr>
          <w:rFonts w:ascii="Open Sans" w:hAnsi="Open Sans" w:cs="Open Sans"/>
          <w:color w:val="auto"/>
          <w:sz w:val="20"/>
          <w:szCs w:val="20"/>
        </w:rPr>
      </w:pPr>
      <w:r w:rsidRPr="004676B1">
        <w:rPr>
          <w:rFonts w:ascii="Open Sans" w:hAnsi="Open Sans" w:cs="Open Sans"/>
          <w:color w:val="auto"/>
          <w:sz w:val="20"/>
          <w:szCs w:val="20"/>
        </w:rPr>
        <w:t>Statutes;</w:t>
      </w:r>
    </w:p>
    <w:p w14:paraId="5636A654" w14:textId="77777777" w:rsidR="00CF2921" w:rsidRPr="004676B1" w:rsidRDefault="00CF2921" w:rsidP="00805C22">
      <w:pPr>
        <w:pStyle w:val="SBFOOTNOTE"/>
        <w:rPr>
          <w:rFonts w:ascii="Open Sans" w:hAnsi="Open Sans" w:cs="Open Sans"/>
          <w:color w:val="auto"/>
          <w:sz w:val="20"/>
          <w:szCs w:val="20"/>
        </w:rPr>
      </w:pPr>
      <w:r w:rsidRPr="004676B1">
        <w:rPr>
          <w:rFonts w:ascii="Open Sans" w:hAnsi="Open Sans" w:cs="Open Sans"/>
          <w:color w:val="auto"/>
          <w:sz w:val="20"/>
          <w:szCs w:val="20"/>
        </w:rPr>
        <w:t xml:space="preserve">The entity may be authorised to operate for the specific purpose of meeting needs in general interest by law. In such a case, the entity should indicate the appropriate regulation. </w:t>
      </w:r>
    </w:p>
    <w:p w14:paraId="58368F76" w14:textId="52D42984" w:rsidR="00CF2921" w:rsidRPr="004676B1" w:rsidRDefault="00CF2921" w:rsidP="00805C22">
      <w:pPr>
        <w:pStyle w:val="SBFOOTNOTE"/>
        <w:rPr>
          <w:rFonts w:ascii="Open Sans" w:hAnsi="Open Sans" w:cs="Open Sans"/>
          <w:color w:val="auto"/>
        </w:rPr>
      </w:pPr>
      <w:r w:rsidRPr="004676B1">
        <w:rPr>
          <w:rFonts w:ascii="Open Sans" w:hAnsi="Open Sans" w:cs="Open Sans"/>
          <w:color w:val="auto"/>
          <w:sz w:val="20"/>
          <w:szCs w:val="20"/>
        </w:rPr>
        <w:t>Alternatively, the authorisation may be granted to the entity by a body governed by public law. In that case, the entity should present a document which confirms such delegation. If the presented documents are not sufficient, additional documents may be required to justify such an authorisation.</w:t>
      </w:r>
    </w:p>
  </w:footnote>
  <w:footnote w:id="25">
    <w:p w14:paraId="5F2170FA" w14:textId="665882B3" w:rsidR="00CF2921" w:rsidRDefault="00CF2921"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A micro-, small- or medium-sized enterprise according to the Commission Recommendation 2003/361/EC and Annex I of the Commission Regulation (EU) No 651/2014.</w:t>
      </w:r>
    </w:p>
  </w:footnote>
  <w:footnote w:id="26">
    <w:p w14:paraId="3DC0606C" w14:textId="3934C647" w:rsidR="00CF2921" w:rsidRPr="004676B1" w:rsidRDefault="00CF2921"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The detailed information on the data to be introduced to the WOD2021 Application System is described in detail in the WOD2021 Applicant Manual available on the </w:t>
      </w:r>
      <w:hyperlink r:id="rId1" w:history="1">
        <w:r w:rsidRPr="004676B1">
          <w:rPr>
            <w:rFonts w:ascii="Open Sans" w:hAnsi="Open Sans" w:cs="Open Sans"/>
            <w:color w:val="auto"/>
          </w:rPr>
          <w:t>Programme website.</w:t>
        </w:r>
      </w:hyperlink>
    </w:p>
  </w:footnote>
  <w:footnote w:id="27">
    <w:p w14:paraId="163116BF" w14:textId="4194383A" w:rsidR="00CF2921" w:rsidRDefault="00CF2921"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The JS reserves the right to request additional documentation during the assessment process. Documents related to State aid/ De minimis aid may also be requested during the assessment process.</w:t>
      </w:r>
    </w:p>
  </w:footnote>
  <w:footnote w:id="28">
    <w:p w14:paraId="72ABAD08" w14:textId="2941FE98" w:rsidR="00AB4F7D" w:rsidRPr="004676B1" w:rsidRDefault="00AB4F7D"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Limitation to EU Member States only does not apply to partners which had applied in project partnerships in the 1st call for proposals.</w:t>
      </w:r>
    </w:p>
  </w:footnote>
  <w:footnote w:id="29">
    <w:p w14:paraId="0A8A8FBF" w14:textId="560F6FD4" w:rsidR="00AB4F7D" w:rsidRPr="004676B1" w:rsidRDefault="00AB4F7D"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30">
    <w:p w14:paraId="7292882E" w14:textId="276C90F1" w:rsidR="0058304F" w:rsidRPr="004676B1" w:rsidRDefault="0058304F"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The SCOs </w:t>
      </w:r>
      <w:r w:rsidRPr="004676B1">
        <w:rPr>
          <w:rFonts w:ascii="Open Sans" w:hAnsi="Open Sans" w:cs="Open Sans"/>
          <w:color w:val="auto"/>
          <w:lang w:val="en-GB"/>
        </w:rPr>
        <w:t>are an approximation of costs (contrary to real costs), defined in advance and based on averages, surveys and other data.</w:t>
      </w:r>
    </w:p>
  </w:footnote>
  <w:footnote w:id="31">
    <w:p w14:paraId="29AD05DA" w14:textId="0F5EE63E" w:rsidR="0058304F" w:rsidRPr="004676B1" w:rsidRDefault="0058304F"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Not applicable for the 1</w:t>
      </w:r>
      <w:r w:rsidRPr="004676B1">
        <w:rPr>
          <w:rFonts w:ascii="Open Sans" w:hAnsi="Open Sans" w:cs="Open Sans"/>
          <w:color w:val="auto"/>
          <w:vertAlign w:val="superscript"/>
        </w:rPr>
        <w:t>st</w:t>
      </w:r>
      <w:r w:rsidRPr="004676B1">
        <w:rPr>
          <w:rFonts w:ascii="Open Sans" w:hAnsi="Open Sans" w:cs="Open Sans"/>
          <w:color w:val="auto"/>
        </w:rPr>
        <w:t xml:space="preserve"> call </w:t>
      </w:r>
      <w:r w:rsidR="00B30E79" w:rsidRPr="004676B1">
        <w:rPr>
          <w:rFonts w:ascii="Open Sans" w:hAnsi="Open Sans" w:cs="Open Sans"/>
          <w:color w:val="auto"/>
        </w:rPr>
        <w:t>for</w:t>
      </w:r>
      <w:r w:rsidRPr="004676B1">
        <w:rPr>
          <w:rFonts w:ascii="Open Sans" w:hAnsi="Open Sans" w:cs="Open Sans"/>
          <w:color w:val="auto"/>
        </w:rPr>
        <w:t xml:space="preserve"> proposals.</w:t>
      </w:r>
    </w:p>
  </w:footnote>
  <w:footnote w:id="32">
    <w:p w14:paraId="455F7989" w14:textId="7DA72360" w:rsidR="00B30E79" w:rsidRPr="004676B1" w:rsidRDefault="00B30E79"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Not applicable for the 1</w:t>
      </w:r>
      <w:r w:rsidRPr="004676B1">
        <w:rPr>
          <w:rFonts w:ascii="Open Sans" w:hAnsi="Open Sans" w:cs="Open Sans"/>
          <w:color w:val="auto"/>
          <w:vertAlign w:val="superscript"/>
        </w:rPr>
        <w:t>st</w:t>
      </w:r>
      <w:r w:rsidRPr="004676B1">
        <w:rPr>
          <w:rFonts w:ascii="Open Sans" w:hAnsi="Open Sans" w:cs="Open Sans"/>
          <w:color w:val="auto"/>
        </w:rPr>
        <w:t xml:space="preserve"> call for proposals. Projects approved in the 1</w:t>
      </w:r>
      <w:r w:rsidRPr="004676B1">
        <w:rPr>
          <w:rFonts w:ascii="Open Sans" w:hAnsi="Open Sans" w:cs="Open Sans"/>
          <w:color w:val="auto"/>
          <w:vertAlign w:val="superscript"/>
        </w:rPr>
        <w:t>st</w:t>
      </w:r>
      <w:r w:rsidRPr="004676B1">
        <w:rPr>
          <w:rFonts w:ascii="Open Sans" w:hAnsi="Open Sans" w:cs="Open Sans"/>
          <w:color w:val="auto"/>
        </w:rPr>
        <w:t xml:space="preserve"> call for proposals declare closure costs on the basis of real costs.</w:t>
      </w:r>
    </w:p>
  </w:footnote>
  <w:footnote w:id="33">
    <w:p w14:paraId="1478EF72" w14:textId="78BB012B" w:rsidR="009E20C1" w:rsidRPr="004676B1" w:rsidRDefault="009E20C1"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According to REGULATION (EU) 2021/1060, VAT is eligible for projects below 5 M EUR (total eligible amount, including the VAT); for projects with a 5 M EUR budget or above, VAT is eligible where it is non-recoverable under national VAT legislation (please note that projects above 5 M EUR are not eligible in the ISBP 2021–2027).</w:t>
      </w:r>
    </w:p>
  </w:footnote>
  <w:footnote w:id="34">
    <w:p w14:paraId="76C051B0" w14:textId="67780B17" w:rsidR="009E20C1" w:rsidRPr="004676B1" w:rsidRDefault="009E20C1"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bookmarkStart w:id="100" w:name="_Hlk136249934"/>
      <w:r w:rsidRPr="004676B1">
        <w:rPr>
          <w:rFonts w:ascii="Open Sans" w:hAnsi="Open Sans" w:cs="Open Sans"/>
          <w:color w:val="auto"/>
        </w:rPr>
        <w:t>Council Regulation (EU) No 2022/576 of 8 April 2022 amending Regulation (EU) No 833/2014 concerning restrictive measures in view of Russia's actions destabilising the situation in Ukraine</w:t>
      </w:r>
      <w:bookmarkEnd w:id="100"/>
      <w:r w:rsidRPr="004676B1">
        <w:rPr>
          <w:rFonts w:ascii="Open Sans" w:hAnsi="Open Sans" w:cs="Open Sans"/>
          <w:color w:val="auto"/>
        </w:rPr>
        <w:t>.</w:t>
      </w:r>
    </w:p>
  </w:footnote>
  <w:footnote w:id="35">
    <w:p w14:paraId="258852DC" w14:textId="10DC7418" w:rsidR="007319BB" w:rsidRPr="004676B1" w:rsidRDefault="007319BB"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In Denmark, the Eligibility guidance developed by the Regional Fund, the Social Fund Plus and the Just Transition Fund 2021–2027 (Vejledning om støtteberettigelse, der er udarbejdet af Regionalfonden, Socialfonden Plus og Fonden for Retfærdig Omstilling (2021–2027)) shall apply. In Germany, the Act Against Restraints of Competition (GWB ‘Gesetz gegen Wettbewerbsbeschränkung’) of February 17, 2015, BGBI I of February 23, 2016 (entered into force on 18 April 2016) shall apply. In Lithuania, Republic of Lithuania Law on Public Procurement of 13 August 1996 No I-1491 (as last amended on 17 March 2022 No XIV-954) and the Public Procurement Office Director Order of 28 June 2017 No 1S-97 (for simplified procurements) shall apply. In Poland, Article 26(6) of the Act of 28 April 2022 on the principles of implementation of tasks financed from European funds in the financial perspective 2021– 2027 shall apply. According to its content, the European Commission may reduce the value of the financial correction, or the value of expenditure incurred incorrectly. The European Commission issued a decision of 14 May 2019 laying down the guidelines for determining financial corrections to be made to expenditure financed by the Union for non-compliance with the applicable rules on public procurement No. С(2019) 3452.</w:t>
      </w:r>
    </w:p>
  </w:footnote>
  <w:footnote w:id="36">
    <w:p w14:paraId="764DC740" w14:textId="285A175B" w:rsidR="009E20C1" w:rsidRDefault="009E20C1"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Article 325 of the Treaty on the Functioning of the European Union.</w:t>
      </w:r>
    </w:p>
  </w:footnote>
  <w:footnote w:id="37">
    <w:p w14:paraId="2AAC25A0" w14:textId="21B0F1E0" w:rsidR="007319BB" w:rsidRPr="004676B1" w:rsidRDefault="007319BB"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Council Act of 26 July 1995 drawing up the Convention on the protection of the European Communities’ financial interests (95/C 316/03).</w:t>
      </w:r>
    </w:p>
  </w:footnote>
  <w:footnote w:id="38">
    <w:p w14:paraId="7C8E5FE5" w14:textId="4C256D50" w:rsidR="007319BB" w:rsidRPr="004676B1" w:rsidRDefault="007319BB"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r w:rsidRPr="004676B1">
        <w:rPr>
          <w:rStyle w:val="markedcontent"/>
          <w:rFonts w:ascii="Open Sans" w:eastAsiaTheme="majorEastAsia" w:hAnsi="Open Sans" w:cs="Open Sans"/>
          <w:color w:val="auto"/>
        </w:rPr>
        <w:t>Regulation (EU, Euratom) 2018/1046 of the European Parliament and of the Council of 18 July 2018</w:t>
      </w:r>
      <w:r w:rsidRPr="004676B1">
        <w:rPr>
          <w:rFonts w:ascii="Open Sans" w:hAnsi="Open Sans" w:cs="Open Sans"/>
          <w:color w:val="auto"/>
        </w:rPr>
        <w:t xml:space="preserve"> </w:t>
      </w:r>
      <w:r w:rsidRPr="004676B1">
        <w:rPr>
          <w:rStyle w:val="markedcontent"/>
          <w:rFonts w:ascii="Open Sans" w:eastAsiaTheme="majorEastAsia" w:hAnsi="Open Sans" w:cs="Open Sans"/>
          <w:color w:val="auto"/>
        </w:rPr>
        <w:t>on the financial rules applicable to the general budget of the U</w:t>
      </w:r>
      <w:r w:rsidRPr="004676B1">
        <w:rPr>
          <w:rFonts w:ascii="Open Sans" w:hAnsi="Open Sans" w:cs="Open Sans"/>
          <w:color w:val="auto"/>
        </w:rPr>
        <w:t>nion and the Guidance on the avoidance and management of conflicts of interest under the Financial Regulation (2021/C 121/01).</w:t>
      </w:r>
    </w:p>
  </w:footnote>
  <w:footnote w:id="39">
    <w:p w14:paraId="7939BB72" w14:textId="506939DA" w:rsidR="007319BB" w:rsidRPr="004676B1" w:rsidRDefault="007319BB"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Article 24 of Directive 2014/24/EU.</w:t>
      </w:r>
    </w:p>
  </w:footnote>
  <w:footnote w:id="40">
    <w:p w14:paraId="52CDBB05" w14:textId="0754C605" w:rsidR="00250BDA" w:rsidRDefault="00250BDA"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Identifying conflicts of interest in public procurement procedures for structural actions.</w:t>
      </w:r>
    </w:p>
  </w:footnote>
  <w:footnote w:id="41">
    <w:p w14:paraId="38856C80" w14:textId="7F72F86C" w:rsidR="007319BB" w:rsidRPr="004676B1" w:rsidRDefault="007319BB"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Commission Decision of 14 May 2019 laying down the guidelines for determining financial corrections to be made to expenditure financed by the Union for non-compliance with the applicable rules on public procurement.</w:t>
      </w:r>
    </w:p>
  </w:footnote>
  <w:footnote w:id="42">
    <w:p w14:paraId="25F3288F" w14:textId="3DA9C7D6" w:rsidR="00250BDA" w:rsidRPr="004676B1" w:rsidRDefault="00250BDA"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Article 107 par. 1 TFEU.</w:t>
      </w:r>
    </w:p>
  </w:footnote>
  <w:footnote w:id="43">
    <w:p w14:paraId="56A5091E" w14:textId="36D3C564" w:rsidR="00250BDA" w:rsidRPr="004676B1" w:rsidRDefault="00250BDA"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The document is available on the</w:t>
      </w:r>
      <w:hyperlink r:id="rId2" w:history="1">
        <w:r w:rsidRPr="004676B1">
          <w:rPr>
            <w:rFonts w:ascii="Open Sans" w:hAnsi="Open Sans" w:cs="Open Sans"/>
            <w:color w:val="auto"/>
          </w:rPr>
          <w:t xml:space="preserve"> Programme website</w:t>
        </w:r>
      </w:hyperlink>
      <w:r w:rsidRPr="004676B1">
        <w:rPr>
          <w:rFonts w:ascii="Open Sans" w:hAnsi="Open Sans" w:cs="Open Sans"/>
          <w:color w:val="auto"/>
        </w:rPr>
        <w:t>.</w:t>
      </w:r>
    </w:p>
  </w:footnote>
  <w:footnote w:id="44">
    <w:p w14:paraId="26F6069F" w14:textId="0E5378F5" w:rsidR="00F92061" w:rsidRPr="004676B1" w:rsidRDefault="00F92061"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w:t>
      </w:r>
      <w:bookmarkStart w:id="114" w:name="_Hlk144883332"/>
      <w:r w:rsidRPr="004676B1">
        <w:rPr>
          <w:rFonts w:ascii="Open Sans" w:hAnsi="Open Sans" w:cs="Open Sans"/>
          <w:color w:val="auto"/>
        </w:rPr>
        <w:t>Per undertaking per project means per undertaking (project partner) participating in a project.</w:t>
      </w:r>
      <w:bookmarkEnd w:id="114"/>
    </w:p>
  </w:footnote>
  <w:footnote w:id="45">
    <w:p w14:paraId="04005937" w14:textId="382F9007" w:rsidR="00F92061" w:rsidRDefault="00F92061"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w:t>
      </w:r>
      <w:bookmarkStart w:id="115" w:name="_Hlk144883351"/>
      <w:r w:rsidRPr="004676B1">
        <w:rPr>
          <w:rFonts w:ascii="Open Sans" w:hAnsi="Open Sans" w:cs="Open Sans"/>
          <w:color w:val="auto"/>
        </w:rPr>
        <w:t>On 9 March 2023, the European Commission endorsed the EN version of the amendment of the GBER. The revised rules among others increase the thresholds in the GBER Articles 20 and 20a to 2.2 million EUR and 22</w:t>
      </w:r>
      <w:r w:rsidR="00DD3472" w:rsidRPr="004676B1">
        <w:rPr>
          <w:rFonts w:ascii="Open Sans" w:hAnsi="Open Sans" w:cs="Open Sans"/>
          <w:color w:val="auto"/>
        </w:rPr>
        <w:t xml:space="preserve"> </w:t>
      </w:r>
      <w:r w:rsidRPr="004676B1">
        <w:rPr>
          <w:rFonts w:ascii="Open Sans" w:hAnsi="Open Sans" w:cs="Open Sans"/>
          <w:color w:val="auto"/>
        </w:rPr>
        <w:t>000 EUR respectively. The consolidated text of the regulation is available at https://eur-lex.europa.eu/legal-content/EN/ALL/?uri=CELEX:02014R0651-20230701.</w:t>
      </w:r>
      <w:bookmarkEnd w:id="115"/>
    </w:p>
  </w:footnote>
  <w:footnote w:id="46">
    <w:p w14:paraId="01B0C0BB" w14:textId="768D55AC" w:rsidR="00F92061" w:rsidRPr="004676B1" w:rsidRDefault="00F92061"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Applicable Commission Regulation (EU) No 1408/2013 of 18 December 2013 on the application of Articles 107 and 108 of the Treaty on the Functioning of the European Union to de minimis aid in the agriculture sector and Commission Regulation (EU) No 717/2014 of 27 June 2014 on the application of Articles 107 and 108 of the Treaty on the Functioning of the European Union to de minimis aid in the fishery and aquaculture sector.</w:t>
      </w:r>
    </w:p>
  </w:footnote>
  <w:footnote w:id="47">
    <w:p w14:paraId="27A7E84D" w14:textId="242F2896" w:rsidR="00F92061" w:rsidRDefault="00F92061"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Pursuant to the definition of an enterprise adopted in Appendix I to the Commission Regulation (EU) no. 651/2014 (GBER), an enterprise means an entity conducting business activity irrespective of its legal form. It especially refers to persons conducting activity on their own account and family companies dealing with craft or other activity, as well as companies or associations conducting regular business activity.</w:t>
      </w:r>
    </w:p>
  </w:footnote>
  <w:footnote w:id="48">
    <w:p w14:paraId="035337D7" w14:textId="4C81A318" w:rsidR="000D3ECA" w:rsidRPr="004676B1" w:rsidRDefault="000D3ECA"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For Polish partners, see also judgement of the Voivodeship Administrative Court in Rzeszow, no: I SA/Rz 558/21, available at: https://orzeczenia.nsa.gov.pl/doc/69D24A3A42.</w:t>
      </w:r>
    </w:p>
  </w:footnote>
  <w:footnote w:id="49">
    <w:p w14:paraId="007E302F" w14:textId="14C12A49" w:rsidR="00557128" w:rsidRPr="004676B1" w:rsidRDefault="00557128"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The bodies granting State aid in accordance with the Polish regulation of 30 April 2004 on procedural issues concerning State aid (Journal of Laws of 2016, item 1808, as amended.) are obliged to submit to the President of the Polish Office of Competition and Consumer Protection reports on the granted State aid or information about not granted State aid. According to paragraph 2 point 1 of the Council of Ministers regulation of 23 December 2009 on the submission of reports on the granted State aid and information about not granting such aid (Journal of Laws of 2014, item 59), those reports or information shall be submitted via the SHRIMP2 application.</w:t>
      </w:r>
    </w:p>
  </w:footnote>
  <w:footnote w:id="50">
    <w:p w14:paraId="2DD0D9F4" w14:textId="3872711F" w:rsidR="00557128" w:rsidRPr="004676B1" w:rsidRDefault="00557128"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By way of derogation from point (c) of Article 76(1) of Regulation (EU) 2021/1060.</w:t>
      </w:r>
    </w:p>
  </w:footnote>
  <w:footnote w:id="51">
    <w:p w14:paraId="6BB8911B" w14:textId="4E0D4AE7" w:rsidR="00D23A2E" w:rsidRPr="004676B1" w:rsidRDefault="00D23A2E"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On the basis of article 36 paragraph 4 of the Interreg Regulation.</w:t>
      </w:r>
    </w:p>
  </w:footnote>
  <w:footnote w:id="52">
    <w:p w14:paraId="29AE8FB6" w14:textId="77777777" w:rsidR="00BA3F54" w:rsidRPr="004676B1" w:rsidRDefault="00BA3F54" w:rsidP="00805C22">
      <w:pPr>
        <w:pStyle w:val="FootnoteText"/>
        <w:rPr>
          <w:rFonts w:ascii="Open Sans" w:hAnsi="Open Sans" w:cs="Open Sans"/>
          <w:color w:val="auto"/>
        </w:rPr>
      </w:pPr>
      <w:r w:rsidRPr="004676B1">
        <w:rPr>
          <w:rStyle w:val="FootnoteReference"/>
          <w:rFonts w:ascii="Open Sans" w:hAnsi="Open Sans" w:cs="Open Sans"/>
          <w:color w:val="auto"/>
        </w:rPr>
        <w:footnoteRef/>
      </w:r>
      <w:r w:rsidRPr="004676B1">
        <w:rPr>
          <w:rFonts w:ascii="Open Sans" w:hAnsi="Open Sans" w:cs="Open Sans"/>
          <w:color w:val="auto"/>
        </w:rPr>
        <w:t xml:space="preserve"> Points b) to f) on the basis of the article 36 (4) of the Interreg Regulation.</w:t>
      </w:r>
    </w:p>
  </w:footnote>
  <w:footnote w:id="53">
    <w:p w14:paraId="51E7BB02" w14:textId="0A71CE7C" w:rsidR="00D23A2E" w:rsidRDefault="00D23A2E" w:rsidP="00805C22">
      <w:pPr>
        <w:pStyle w:val="FootnoteText"/>
      </w:pPr>
      <w:r w:rsidRPr="004676B1">
        <w:rPr>
          <w:rStyle w:val="FootnoteReference"/>
          <w:rFonts w:ascii="Open Sans" w:hAnsi="Open Sans" w:cs="Open Sans"/>
          <w:color w:val="auto"/>
        </w:rPr>
        <w:footnoteRef/>
      </w:r>
      <w:r w:rsidRPr="004676B1">
        <w:rPr>
          <w:rFonts w:ascii="Open Sans" w:hAnsi="Open Sans" w:cs="Open Sans"/>
          <w:color w:val="auto"/>
        </w:rPr>
        <w:t xml:space="preserve"> Article 49 (6) and Annex IX (2) of the Common Provisions Regulation.</w:t>
      </w:r>
    </w:p>
  </w:footnote>
  <w:footnote w:id="54">
    <w:p w14:paraId="7847E4BC" w14:textId="3080E4B5" w:rsidR="00D23A2E" w:rsidRPr="004676B1" w:rsidRDefault="00D23A2E" w:rsidP="00805C22">
      <w:pPr>
        <w:pStyle w:val="FootnoteText"/>
        <w:rPr>
          <w:rFonts w:ascii="Open Sans" w:hAnsi="Open Sans" w:cs="Open Sans"/>
        </w:rPr>
      </w:pPr>
      <w:r w:rsidRPr="004676B1">
        <w:rPr>
          <w:rStyle w:val="FootnoteReference"/>
          <w:rFonts w:ascii="Open Sans" w:hAnsi="Open Sans" w:cs="Open Sans"/>
          <w:color w:val="auto"/>
        </w:rPr>
        <w:footnoteRef/>
      </w:r>
      <w:r w:rsidRPr="004676B1">
        <w:rPr>
          <w:rFonts w:ascii="Open Sans" w:hAnsi="Open Sans" w:cs="Open Sans"/>
          <w:color w:val="auto"/>
        </w:rPr>
        <w:t xml:space="preserve"> Regulation (EU) 2016/679 of the European Parliament and of the Council of 27 April 2016 on the protection of natural persons with regard to the processing of personal data and on the free movement of such data and repealing Directive 95/46/EC (Official Journal of the European Union L 119 of 4/5/2016 page 1–88).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2469C145" w:rsidR="000E5F5D" w:rsidRDefault="00EB4CCD" w:rsidP="00805C22">
    <w:pPr>
      <w:pStyle w:val="Header"/>
    </w:pPr>
    <w:r>
      <w:rPr>
        <w:noProof/>
      </w:rPr>
      <mc:AlternateContent>
        <mc:Choice Requires="wps">
          <w:drawing>
            <wp:anchor distT="0" distB="0" distL="114300" distR="114300" simplePos="0" relativeHeight="251669504" behindDoc="0" locked="0" layoutInCell="1" allowOverlap="1" wp14:anchorId="6699CBB4" wp14:editId="3D79CF2B">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5B3A55D5"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805C22">
    <w:r>
      <w:tab/>
    </w:r>
    <w:r>
      <w:tab/>
    </w:r>
  </w:p>
  <w:p w14:paraId="52E586D4" w14:textId="3DCAD0E6" w:rsidR="00346297" w:rsidRDefault="00346297" w:rsidP="00805C22"/>
  <w:p w14:paraId="415258E6" w14:textId="0FB290CC" w:rsidR="0059545C" w:rsidRDefault="0059545C" w:rsidP="00805C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3026B7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pt;height:12pt;visibility:visible;mso-wrap-style:square" o:bullet="t">
        <v:imagedata r:id="rId1" o:title=""/>
      </v:shape>
    </w:pict>
  </w:numPicBullet>
  <w:numPicBullet w:numPicBulletId="1">
    <w:pict>
      <v:shape id="_x0000_i1027" type="#_x0000_t75" style="width:9.75pt;height:15pt;visibility:visible;mso-wrap-style:square" o:bullet="t">
        <v:imagedata r:id="rId2" o:title=""/>
      </v:shape>
    </w:pict>
  </w:numPicBullet>
  <w:numPicBullet w:numPicBulletId="2">
    <w:pict>
      <v:shape w14:anchorId="2F9B1485" id="_x0000_i1028" type="#_x0000_t75" style="width:9.75pt;height:15pt;visibility:visible;mso-wrap-style:square" o:bullet="t">
        <v:imagedata r:id="rId3" o:title=""/>
      </v:shape>
    </w:pict>
  </w:numPicBullet>
  <w:abstractNum w:abstractNumId="0" w15:restartNumberingAfterBreak="0">
    <w:nsid w:val="0052653C"/>
    <w:multiLevelType w:val="hybridMultilevel"/>
    <w:tmpl w:val="09E4E014"/>
    <w:lvl w:ilvl="0" w:tplc="FFFFFFFF">
      <w:start w:val="1"/>
      <w:numFmt w:val="decimal"/>
      <w:lvlText w:val="%1."/>
      <w:lvlJc w:val="lef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 w15:restartNumberingAfterBreak="0">
    <w:nsid w:val="01622C8D"/>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4466EA"/>
    <w:multiLevelType w:val="hybridMultilevel"/>
    <w:tmpl w:val="F138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F57A3"/>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502381"/>
    <w:multiLevelType w:val="hybridMultilevel"/>
    <w:tmpl w:val="490CC6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F005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3E3D73"/>
    <w:multiLevelType w:val="hybridMultilevel"/>
    <w:tmpl w:val="26EEDCC8"/>
    <w:lvl w:ilvl="0" w:tplc="A098692C">
      <w:start w:val="1"/>
      <w:numFmt w:val="bullet"/>
      <w:lvlText w:val=""/>
      <w:lvlPicBulletId w:val="1"/>
      <w:lvlJc w:val="left"/>
      <w:pPr>
        <w:tabs>
          <w:tab w:val="num" w:pos="720"/>
        </w:tabs>
        <w:ind w:left="720" w:hanging="360"/>
      </w:pPr>
      <w:rPr>
        <w:rFonts w:ascii="Symbol" w:hAnsi="Symbol" w:hint="default"/>
      </w:rPr>
    </w:lvl>
    <w:lvl w:ilvl="1" w:tplc="5D085B82" w:tentative="1">
      <w:start w:val="1"/>
      <w:numFmt w:val="bullet"/>
      <w:lvlText w:val=""/>
      <w:lvlJc w:val="left"/>
      <w:pPr>
        <w:tabs>
          <w:tab w:val="num" w:pos="1440"/>
        </w:tabs>
        <w:ind w:left="1440" w:hanging="360"/>
      </w:pPr>
      <w:rPr>
        <w:rFonts w:ascii="Symbol" w:hAnsi="Symbol" w:hint="default"/>
      </w:rPr>
    </w:lvl>
    <w:lvl w:ilvl="2" w:tplc="13506790" w:tentative="1">
      <w:start w:val="1"/>
      <w:numFmt w:val="bullet"/>
      <w:lvlText w:val=""/>
      <w:lvlJc w:val="left"/>
      <w:pPr>
        <w:tabs>
          <w:tab w:val="num" w:pos="2160"/>
        </w:tabs>
        <w:ind w:left="2160" w:hanging="360"/>
      </w:pPr>
      <w:rPr>
        <w:rFonts w:ascii="Symbol" w:hAnsi="Symbol" w:hint="default"/>
      </w:rPr>
    </w:lvl>
    <w:lvl w:ilvl="3" w:tplc="6CFEA320" w:tentative="1">
      <w:start w:val="1"/>
      <w:numFmt w:val="bullet"/>
      <w:lvlText w:val=""/>
      <w:lvlJc w:val="left"/>
      <w:pPr>
        <w:tabs>
          <w:tab w:val="num" w:pos="2880"/>
        </w:tabs>
        <w:ind w:left="2880" w:hanging="360"/>
      </w:pPr>
      <w:rPr>
        <w:rFonts w:ascii="Symbol" w:hAnsi="Symbol" w:hint="default"/>
      </w:rPr>
    </w:lvl>
    <w:lvl w:ilvl="4" w:tplc="9A2E7066" w:tentative="1">
      <w:start w:val="1"/>
      <w:numFmt w:val="bullet"/>
      <w:lvlText w:val=""/>
      <w:lvlJc w:val="left"/>
      <w:pPr>
        <w:tabs>
          <w:tab w:val="num" w:pos="3600"/>
        </w:tabs>
        <w:ind w:left="3600" w:hanging="360"/>
      </w:pPr>
      <w:rPr>
        <w:rFonts w:ascii="Symbol" w:hAnsi="Symbol" w:hint="default"/>
      </w:rPr>
    </w:lvl>
    <w:lvl w:ilvl="5" w:tplc="89D424AC" w:tentative="1">
      <w:start w:val="1"/>
      <w:numFmt w:val="bullet"/>
      <w:lvlText w:val=""/>
      <w:lvlJc w:val="left"/>
      <w:pPr>
        <w:tabs>
          <w:tab w:val="num" w:pos="4320"/>
        </w:tabs>
        <w:ind w:left="4320" w:hanging="360"/>
      </w:pPr>
      <w:rPr>
        <w:rFonts w:ascii="Symbol" w:hAnsi="Symbol" w:hint="default"/>
      </w:rPr>
    </w:lvl>
    <w:lvl w:ilvl="6" w:tplc="62FCF180" w:tentative="1">
      <w:start w:val="1"/>
      <w:numFmt w:val="bullet"/>
      <w:lvlText w:val=""/>
      <w:lvlJc w:val="left"/>
      <w:pPr>
        <w:tabs>
          <w:tab w:val="num" w:pos="5040"/>
        </w:tabs>
        <w:ind w:left="5040" w:hanging="360"/>
      </w:pPr>
      <w:rPr>
        <w:rFonts w:ascii="Symbol" w:hAnsi="Symbol" w:hint="default"/>
      </w:rPr>
    </w:lvl>
    <w:lvl w:ilvl="7" w:tplc="7BFE24C8" w:tentative="1">
      <w:start w:val="1"/>
      <w:numFmt w:val="bullet"/>
      <w:lvlText w:val=""/>
      <w:lvlJc w:val="left"/>
      <w:pPr>
        <w:tabs>
          <w:tab w:val="num" w:pos="5760"/>
        </w:tabs>
        <w:ind w:left="5760" w:hanging="360"/>
      </w:pPr>
      <w:rPr>
        <w:rFonts w:ascii="Symbol" w:hAnsi="Symbol" w:hint="default"/>
      </w:rPr>
    </w:lvl>
    <w:lvl w:ilvl="8" w:tplc="60C009C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6CD244C"/>
    <w:multiLevelType w:val="hybridMultilevel"/>
    <w:tmpl w:val="C2804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612F93"/>
    <w:multiLevelType w:val="hybridMultilevel"/>
    <w:tmpl w:val="F22E50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282CCF"/>
    <w:multiLevelType w:val="hybridMultilevel"/>
    <w:tmpl w:val="CE2CF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E90AA5"/>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534DA1"/>
    <w:multiLevelType w:val="hybridMultilevel"/>
    <w:tmpl w:val="D2AEF2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DE416FF"/>
    <w:multiLevelType w:val="hybridMultilevel"/>
    <w:tmpl w:val="C10EBD82"/>
    <w:lvl w:ilvl="0" w:tplc="B1FC93CC">
      <w:numFmt w:val="bullet"/>
      <w:lvlText w:val="•"/>
      <w:lvlJc w:val="left"/>
      <w:pPr>
        <w:ind w:left="931" w:hanging="300"/>
      </w:pPr>
      <w:rPr>
        <w:rFonts w:ascii="Open Sans" w:eastAsia="Open Sans" w:hAnsi="Open Sans" w:cs="Open Sans" w:hint="default"/>
        <w:b/>
        <w:bCs/>
        <w:i w:val="0"/>
        <w:iCs w:val="0"/>
        <w:spacing w:val="0"/>
        <w:w w:val="100"/>
        <w:sz w:val="20"/>
        <w:szCs w:val="20"/>
        <w:lang w:val="en-US" w:eastAsia="en-US" w:bidi="ar-SA"/>
      </w:rPr>
    </w:lvl>
    <w:lvl w:ilvl="1" w:tplc="827061F8">
      <w:numFmt w:val="bullet"/>
      <w:lvlText w:val="•"/>
      <w:lvlJc w:val="left"/>
      <w:pPr>
        <w:ind w:left="1791" w:hanging="300"/>
      </w:pPr>
      <w:rPr>
        <w:rFonts w:hint="default"/>
        <w:lang w:val="en-US" w:eastAsia="en-US" w:bidi="ar-SA"/>
      </w:rPr>
    </w:lvl>
    <w:lvl w:ilvl="2" w:tplc="FFA4DA24">
      <w:numFmt w:val="bullet"/>
      <w:lvlText w:val="•"/>
      <w:lvlJc w:val="left"/>
      <w:pPr>
        <w:ind w:left="2643" w:hanging="300"/>
      </w:pPr>
      <w:rPr>
        <w:rFonts w:hint="default"/>
        <w:lang w:val="en-US" w:eastAsia="en-US" w:bidi="ar-SA"/>
      </w:rPr>
    </w:lvl>
    <w:lvl w:ilvl="3" w:tplc="2DB87046">
      <w:numFmt w:val="bullet"/>
      <w:lvlText w:val="•"/>
      <w:lvlJc w:val="left"/>
      <w:pPr>
        <w:ind w:left="3495" w:hanging="300"/>
      </w:pPr>
      <w:rPr>
        <w:rFonts w:hint="default"/>
        <w:lang w:val="en-US" w:eastAsia="en-US" w:bidi="ar-SA"/>
      </w:rPr>
    </w:lvl>
    <w:lvl w:ilvl="4" w:tplc="9B4C37AC">
      <w:numFmt w:val="bullet"/>
      <w:lvlText w:val="•"/>
      <w:lvlJc w:val="left"/>
      <w:pPr>
        <w:ind w:left="4347" w:hanging="300"/>
      </w:pPr>
      <w:rPr>
        <w:rFonts w:hint="default"/>
        <w:lang w:val="en-US" w:eastAsia="en-US" w:bidi="ar-SA"/>
      </w:rPr>
    </w:lvl>
    <w:lvl w:ilvl="5" w:tplc="357E98F8">
      <w:numFmt w:val="bullet"/>
      <w:lvlText w:val="•"/>
      <w:lvlJc w:val="left"/>
      <w:pPr>
        <w:ind w:left="5199" w:hanging="300"/>
      </w:pPr>
      <w:rPr>
        <w:rFonts w:hint="default"/>
        <w:lang w:val="en-US" w:eastAsia="en-US" w:bidi="ar-SA"/>
      </w:rPr>
    </w:lvl>
    <w:lvl w:ilvl="6" w:tplc="F8C8B032">
      <w:numFmt w:val="bullet"/>
      <w:lvlText w:val="•"/>
      <w:lvlJc w:val="left"/>
      <w:pPr>
        <w:ind w:left="6051" w:hanging="300"/>
      </w:pPr>
      <w:rPr>
        <w:rFonts w:hint="default"/>
        <w:lang w:val="en-US" w:eastAsia="en-US" w:bidi="ar-SA"/>
      </w:rPr>
    </w:lvl>
    <w:lvl w:ilvl="7" w:tplc="0E94C1E2">
      <w:numFmt w:val="bullet"/>
      <w:lvlText w:val="•"/>
      <w:lvlJc w:val="left"/>
      <w:pPr>
        <w:ind w:left="6903" w:hanging="300"/>
      </w:pPr>
      <w:rPr>
        <w:rFonts w:hint="default"/>
        <w:lang w:val="en-US" w:eastAsia="en-US" w:bidi="ar-SA"/>
      </w:rPr>
    </w:lvl>
    <w:lvl w:ilvl="8" w:tplc="7622631A">
      <w:numFmt w:val="bullet"/>
      <w:lvlText w:val="•"/>
      <w:lvlJc w:val="left"/>
      <w:pPr>
        <w:ind w:left="7755" w:hanging="300"/>
      </w:pPr>
      <w:rPr>
        <w:rFonts w:hint="default"/>
        <w:lang w:val="en-US" w:eastAsia="en-US" w:bidi="ar-SA"/>
      </w:rPr>
    </w:lvl>
  </w:abstractNum>
  <w:abstractNum w:abstractNumId="14" w15:restartNumberingAfterBreak="0">
    <w:nsid w:val="0E3B2586"/>
    <w:multiLevelType w:val="hybridMultilevel"/>
    <w:tmpl w:val="7812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6918FF"/>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772E1E"/>
    <w:multiLevelType w:val="hybridMultilevel"/>
    <w:tmpl w:val="26143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4C4EA6"/>
    <w:multiLevelType w:val="hybridMultilevel"/>
    <w:tmpl w:val="045A66FC"/>
    <w:lvl w:ilvl="0" w:tplc="04090001">
      <w:start w:val="1"/>
      <w:numFmt w:val="bullet"/>
      <w:lvlText w:val=""/>
      <w:lvlJc w:val="left"/>
      <w:pPr>
        <w:ind w:left="905" w:hanging="360"/>
      </w:pPr>
      <w:rPr>
        <w:rFonts w:ascii="Symbol" w:hAnsi="Symbol"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18" w15:restartNumberingAfterBreak="0">
    <w:nsid w:val="17FE1BB2"/>
    <w:multiLevelType w:val="hybridMultilevel"/>
    <w:tmpl w:val="77FC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306CD1"/>
    <w:multiLevelType w:val="hybridMultilevel"/>
    <w:tmpl w:val="D122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5877BF"/>
    <w:multiLevelType w:val="hybridMultilevel"/>
    <w:tmpl w:val="F9BAD93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19644646"/>
    <w:multiLevelType w:val="hybridMultilevel"/>
    <w:tmpl w:val="2C7CD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23" w15:restartNumberingAfterBreak="0">
    <w:nsid w:val="1C534044"/>
    <w:multiLevelType w:val="multilevel"/>
    <w:tmpl w:val="13DC1F4A"/>
    <w:lvl w:ilvl="0">
      <w:start w:val="1"/>
      <w:numFmt w:val="decimal"/>
      <w:lvlText w:val="%1."/>
      <w:lvlJc w:val="left"/>
      <w:pPr>
        <w:ind w:left="720" w:hanging="360"/>
      </w:pPr>
    </w:lvl>
    <w:lvl w:ilvl="1">
      <w:start w:val="9"/>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1D4C2980"/>
    <w:multiLevelType w:val="hybridMultilevel"/>
    <w:tmpl w:val="0590B5C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1E5D06C0"/>
    <w:multiLevelType w:val="hybridMultilevel"/>
    <w:tmpl w:val="263C41F2"/>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B47128"/>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20395D8F"/>
    <w:multiLevelType w:val="hybridMultilevel"/>
    <w:tmpl w:val="F926D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060D78"/>
    <w:multiLevelType w:val="hybridMultilevel"/>
    <w:tmpl w:val="64CA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49C2C45"/>
    <w:multiLevelType w:val="hybridMultilevel"/>
    <w:tmpl w:val="6888B6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7E100E"/>
    <w:multiLevelType w:val="hybridMultilevel"/>
    <w:tmpl w:val="220C9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623088"/>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7006D97"/>
    <w:multiLevelType w:val="hybridMultilevel"/>
    <w:tmpl w:val="346EEA0E"/>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79E2524"/>
    <w:multiLevelType w:val="hybridMultilevel"/>
    <w:tmpl w:val="1A7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4A2079"/>
    <w:multiLevelType w:val="multilevel"/>
    <w:tmpl w:val="FA4A7E5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2A8324C2"/>
    <w:multiLevelType w:val="hybridMultilevel"/>
    <w:tmpl w:val="D2582E40"/>
    <w:lvl w:ilvl="0" w:tplc="195EA10E">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55771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2D734D78"/>
    <w:multiLevelType w:val="hybridMultilevel"/>
    <w:tmpl w:val="77906732"/>
    <w:lvl w:ilvl="0" w:tplc="04090001">
      <w:start w:val="1"/>
      <w:numFmt w:val="bullet"/>
      <w:lvlText w:val=""/>
      <w:lvlJc w:val="left"/>
      <w:pPr>
        <w:ind w:left="1109" w:hanging="360"/>
      </w:pPr>
      <w:rPr>
        <w:rFonts w:ascii="Symbol" w:hAnsi="Symbol" w:hint="default"/>
      </w:rPr>
    </w:lvl>
    <w:lvl w:ilvl="1" w:tplc="04090003" w:tentative="1">
      <w:start w:val="1"/>
      <w:numFmt w:val="bullet"/>
      <w:lvlText w:val="o"/>
      <w:lvlJc w:val="left"/>
      <w:pPr>
        <w:ind w:left="1829" w:hanging="360"/>
      </w:pPr>
      <w:rPr>
        <w:rFonts w:ascii="Courier New" w:hAnsi="Courier New" w:cs="Courier New" w:hint="default"/>
      </w:rPr>
    </w:lvl>
    <w:lvl w:ilvl="2" w:tplc="04090005" w:tentative="1">
      <w:start w:val="1"/>
      <w:numFmt w:val="bullet"/>
      <w:lvlText w:val=""/>
      <w:lvlJc w:val="left"/>
      <w:pPr>
        <w:ind w:left="2549" w:hanging="360"/>
      </w:pPr>
      <w:rPr>
        <w:rFonts w:ascii="Wingdings" w:hAnsi="Wingdings" w:hint="default"/>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38" w15:restartNumberingAfterBreak="0">
    <w:nsid w:val="2E373B56"/>
    <w:multiLevelType w:val="hybridMultilevel"/>
    <w:tmpl w:val="1688BDD0"/>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EBF1285"/>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0BD1003"/>
    <w:multiLevelType w:val="hybridMultilevel"/>
    <w:tmpl w:val="04FEE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48632A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34DD321A"/>
    <w:multiLevelType w:val="hybridMultilevel"/>
    <w:tmpl w:val="8022F4E6"/>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5263416"/>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61D2E96"/>
    <w:multiLevelType w:val="hybridMultilevel"/>
    <w:tmpl w:val="CDEEC9EE"/>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67737C1"/>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9BD56AF"/>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A493D07"/>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B1602EE"/>
    <w:multiLevelType w:val="hybridMultilevel"/>
    <w:tmpl w:val="3638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BB24D3A"/>
    <w:multiLevelType w:val="hybridMultilevel"/>
    <w:tmpl w:val="47DE8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BE63774"/>
    <w:multiLevelType w:val="hybridMultilevel"/>
    <w:tmpl w:val="499EB0B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EE2252E"/>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F4E652A"/>
    <w:multiLevelType w:val="hybridMultilevel"/>
    <w:tmpl w:val="958ED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F723263"/>
    <w:multiLevelType w:val="hybridMultilevel"/>
    <w:tmpl w:val="9864C44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47F0CE3"/>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4DC00B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6BD0025"/>
    <w:multiLevelType w:val="hybridMultilevel"/>
    <w:tmpl w:val="B1FC7C3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48693282"/>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B1D68A8"/>
    <w:multiLevelType w:val="hybridMultilevel"/>
    <w:tmpl w:val="66D21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B9D1B9D"/>
    <w:multiLevelType w:val="hybridMultilevel"/>
    <w:tmpl w:val="39447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4D601A93"/>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D811B47"/>
    <w:multiLevelType w:val="hybridMultilevel"/>
    <w:tmpl w:val="91305E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E4D3107"/>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ECD5DCD"/>
    <w:multiLevelType w:val="hybridMultilevel"/>
    <w:tmpl w:val="849CD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FB4760E"/>
    <w:multiLevelType w:val="hybridMultilevel"/>
    <w:tmpl w:val="F22E505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0AD33AF"/>
    <w:multiLevelType w:val="hybridMultilevel"/>
    <w:tmpl w:val="00947D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1697D2E"/>
    <w:multiLevelType w:val="hybridMultilevel"/>
    <w:tmpl w:val="849CD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2A137F6"/>
    <w:multiLevelType w:val="hybridMultilevel"/>
    <w:tmpl w:val="1776825A"/>
    <w:lvl w:ilvl="0" w:tplc="44B8D18A">
      <w:start w:val="1"/>
      <w:numFmt w:val="bullet"/>
      <w:lvlText w:val=""/>
      <w:lvlPicBulletId w:val="2"/>
      <w:lvlJc w:val="left"/>
      <w:pPr>
        <w:tabs>
          <w:tab w:val="num" w:pos="720"/>
        </w:tabs>
        <w:ind w:left="720" w:hanging="360"/>
      </w:pPr>
      <w:rPr>
        <w:rFonts w:ascii="Symbol" w:hAnsi="Symbol" w:hint="default"/>
        <w:sz w:val="32"/>
        <w:szCs w:val="28"/>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68" w15:restartNumberingAfterBreak="0">
    <w:nsid w:val="55015DBA"/>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5A905BC"/>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65E2EA8"/>
    <w:multiLevelType w:val="hybridMultilevel"/>
    <w:tmpl w:val="CE2CFE5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6FE2347"/>
    <w:multiLevelType w:val="multilevel"/>
    <w:tmpl w:val="07988E5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58C83EF8"/>
    <w:multiLevelType w:val="hybridMultilevel"/>
    <w:tmpl w:val="E20EF0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8EA4B46"/>
    <w:multiLevelType w:val="multilevel"/>
    <w:tmpl w:val="AD8C5E82"/>
    <w:lvl w:ilvl="0">
      <w:start w:val="1"/>
      <w:numFmt w:val="decimal"/>
      <w:lvlText w:val="%1."/>
      <w:lvlJc w:val="left"/>
      <w:pPr>
        <w:ind w:left="720" w:hanging="360"/>
      </w:pPr>
      <w:rPr>
        <w:lang w:val="pl-PL"/>
      </w:r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4" w15:restartNumberingAfterBreak="0">
    <w:nsid w:val="59D87EC2"/>
    <w:multiLevelType w:val="hybridMultilevel"/>
    <w:tmpl w:val="513A9268"/>
    <w:lvl w:ilvl="0" w:tplc="08090001">
      <w:start w:val="1"/>
      <w:numFmt w:val="bullet"/>
      <w:lvlText w:val=""/>
      <w:lvlJc w:val="left"/>
      <w:pPr>
        <w:ind w:left="720" w:hanging="360"/>
      </w:pPr>
      <w:rPr>
        <w:rFonts w:ascii="Symbol" w:hAnsi="Symbol" w:hint="default"/>
      </w:rPr>
    </w:lvl>
    <w:lvl w:ilvl="1" w:tplc="3B022652">
      <w:numFmt w:val="bullet"/>
      <w:lvlText w:val="•"/>
      <w:lvlJc w:val="left"/>
      <w:pPr>
        <w:ind w:left="1440" w:hanging="360"/>
      </w:pPr>
      <w:rPr>
        <w:rFonts w:ascii="Open Sans" w:eastAsiaTheme="minorHAnsi" w:hAnsi="Open Sans" w:cs="Open San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9FA19AC"/>
    <w:multiLevelType w:val="hybridMultilevel"/>
    <w:tmpl w:val="23AA7F1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5A251621"/>
    <w:multiLevelType w:val="hybridMultilevel"/>
    <w:tmpl w:val="E28A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A651D27"/>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8" w15:restartNumberingAfterBreak="0">
    <w:nsid w:val="61F1379C"/>
    <w:multiLevelType w:val="hybridMultilevel"/>
    <w:tmpl w:val="3EA4A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28C5F14"/>
    <w:multiLevelType w:val="hybridMultilevel"/>
    <w:tmpl w:val="042EB984"/>
    <w:lvl w:ilvl="0" w:tplc="77BA9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AF2CA4"/>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643D3A41"/>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E2557BF"/>
    <w:multiLevelType w:val="hybridMultilevel"/>
    <w:tmpl w:val="27A8C84C"/>
    <w:lvl w:ilvl="0" w:tplc="817029F8">
      <w:start w:val="1"/>
      <w:numFmt w:val="low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E6201DF"/>
    <w:multiLevelType w:val="hybridMultilevel"/>
    <w:tmpl w:val="EA8C8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4E4C9F"/>
    <w:multiLevelType w:val="hybridMultilevel"/>
    <w:tmpl w:val="DEEA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0931808"/>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15:restartNumberingAfterBreak="0">
    <w:nsid w:val="74B16B0E"/>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9214000"/>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A4A3788"/>
    <w:multiLevelType w:val="hybridMultilevel"/>
    <w:tmpl w:val="1086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AB00CA1"/>
    <w:multiLevelType w:val="hybridMultilevel"/>
    <w:tmpl w:val="09E4E014"/>
    <w:lvl w:ilvl="0" w:tplc="E30C0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B151C96"/>
    <w:multiLevelType w:val="hybridMultilevel"/>
    <w:tmpl w:val="B20E76F8"/>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7F2F74E6"/>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12454215">
    <w:abstractNumId w:val="14"/>
  </w:num>
  <w:num w:numId="2" w16cid:durableId="1645698803">
    <w:abstractNumId w:val="64"/>
  </w:num>
  <w:num w:numId="3" w16cid:durableId="321786520">
    <w:abstractNumId w:val="70"/>
  </w:num>
  <w:num w:numId="4" w16cid:durableId="1909075416">
    <w:abstractNumId w:val="52"/>
  </w:num>
  <w:num w:numId="5" w16cid:durableId="122233482">
    <w:abstractNumId w:val="65"/>
  </w:num>
  <w:num w:numId="6" w16cid:durableId="689448809">
    <w:abstractNumId w:val="32"/>
  </w:num>
  <w:num w:numId="7" w16cid:durableId="1374038327">
    <w:abstractNumId w:val="22"/>
  </w:num>
  <w:num w:numId="8" w16cid:durableId="1556770007">
    <w:abstractNumId w:val="83"/>
  </w:num>
  <w:num w:numId="9" w16cid:durableId="1185823713">
    <w:abstractNumId w:val="89"/>
  </w:num>
  <w:num w:numId="10" w16cid:durableId="1562980450">
    <w:abstractNumId w:val="30"/>
  </w:num>
  <w:num w:numId="11" w16cid:durableId="596450162">
    <w:abstractNumId w:val="12"/>
  </w:num>
  <w:num w:numId="12" w16cid:durableId="1789734774">
    <w:abstractNumId w:val="28"/>
  </w:num>
  <w:num w:numId="13" w16cid:durableId="501433957">
    <w:abstractNumId w:val="38"/>
  </w:num>
  <w:num w:numId="14" w16cid:durableId="44643774">
    <w:abstractNumId w:val="42"/>
  </w:num>
  <w:num w:numId="15" w16cid:durableId="1280604213">
    <w:abstractNumId w:val="25"/>
  </w:num>
  <w:num w:numId="16" w16cid:durableId="1280378470">
    <w:abstractNumId w:val="49"/>
  </w:num>
  <w:num w:numId="17" w16cid:durableId="1995180505">
    <w:abstractNumId w:val="10"/>
  </w:num>
  <w:num w:numId="18" w16cid:durableId="577980299">
    <w:abstractNumId w:val="53"/>
  </w:num>
  <w:num w:numId="19" w16cid:durableId="1804039053">
    <w:abstractNumId w:val="61"/>
  </w:num>
  <w:num w:numId="20" w16cid:durableId="865560518">
    <w:abstractNumId w:val="48"/>
  </w:num>
  <w:num w:numId="21" w16cid:durableId="278680347">
    <w:abstractNumId w:val="84"/>
  </w:num>
  <w:num w:numId="22" w16cid:durableId="2126580755">
    <w:abstractNumId w:val="76"/>
  </w:num>
  <w:num w:numId="23" w16cid:durableId="513230859">
    <w:abstractNumId w:val="23"/>
  </w:num>
  <w:num w:numId="24" w16cid:durableId="406151344">
    <w:abstractNumId w:val="35"/>
  </w:num>
  <w:num w:numId="25" w16cid:durableId="2083062252">
    <w:abstractNumId w:val="29"/>
  </w:num>
  <w:num w:numId="26" w16cid:durableId="846746426">
    <w:abstractNumId w:val="58"/>
  </w:num>
  <w:num w:numId="27" w16cid:durableId="1901136125">
    <w:abstractNumId w:val="82"/>
  </w:num>
  <w:num w:numId="28" w16cid:durableId="1736850096">
    <w:abstractNumId w:val="16"/>
  </w:num>
  <w:num w:numId="29" w16cid:durableId="369764057">
    <w:abstractNumId w:val="71"/>
  </w:num>
  <w:num w:numId="30" w16cid:durableId="1184976308">
    <w:abstractNumId w:val="33"/>
  </w:num>
  <w:num w:numId="31" w16cid:durableId="1255936234">
    <w:abstractNumId w:val="3"/>
  </w:num>
  <w:num w:numId="32" w16cid:durableId="338121154">
    <w:abstractNumId w:val="11"/>
  </w:num>
  <w:num w:numId="33" w16cid:durableId="1152914459">
    <w:abstractNumId w:val="63"/>
  </w:num>
  <w:num w:numId="34" w16cid:durableId="1181815595">
    <w:abstractNumId w:val="18"/>
  </w:num>
  <w:num w:numId="35" w16cid:durableId="595598567">
    <w:abstractNumId w:val="7"/>
  </w:num>
  <w:num w:numId="36" w16cid:durableId="350031356">
    <w:abstractNumId w:val="66"/>
  </w:num>
  <w:num w:numId="37" w16cid:durableId="925264008">
    <w:abstractNumId w:val="46"/>
  </w:num>
  <w:num w:numId="38" w16cid:durableId="1775202373">
    <w:abstractNumId w:val="72"/>
  </w:num>
  <w:num w:numId="39" w16cid:durableId="1591816577">
    <w:abstractNumId w:val="78"/>
  </w:num>
  <w:num w:numId="40" w16cid:durableId="678124715">
    <w:abstractNumId w:val="62"/>
  </w:num>
  <w:num w:numId="41" w16cid:durableId="1868593331">
    <w:abstractNumId w:val="43"/>
  </w:num>
  <w:num w:numId="42" w16cid:durableId="1359896000">
    <w:abstractNumId w:val="8"/>
  </w:num>
  <w:num w:numId="43" w16cid:durableId="897976716">
    <w:abstractNumId w:val="9"/>
  </w:num>
  <w:num w:numId="44" w16cid:durableId="281688808">
    <w:abstractNumId w:val="54"/>
  </w:num>
  <w:num w:numId="45" w16cid:durableId="1881697560">
    <w:abstractNumId w:val="87"/>
  </w:num>
  <w:num w:numId="46" w16cid:durableId="1558273171">
    <w:abstractNumId w:val="57"/>
  </w:num>
  <w:num w:numId="47" w16cid:durableId="676350590">
    <w:abstractNumId w:val="15"/>
  </w:num>
  <w:num w:numId="48" w16cid:durableId="22828589">
    <w:abstractNumId w:val="0"/>
  </w:num>
  <w:num w:numId="49" w16cid:durableId="1374967160">
    <w:abstractNumId w:val="17"/>
  </w:num>
  <w:num w:numId="50" w16cid:durableId="820998861">
    <w:abstractNumId w:val="2"/>
  </w:num>
  <w:num w:numId="51" w16cid:durableId="394932968">
    <w:abstractNumId w:val="45"/>
  </w:num>
  <w:num w:numId="52" w16cid:durableId="515266841">
    <w:abstractNumId w:val="31"/>
  </w:num>
  <w:num w:numId="53" w16cid:durableId="1118259338">
    <w:abstractNumId w:val="86"/>
  </w:num>
  <w:num w:numId="54" w16cid:durableId="515772015">
    <w:abstractNumId w:val="55"/>
  </w:num>
  <w:num w:numId="55" w16cid:durableId="619262769">
    <w:abstractNumId w:val="69"/>
  </w:num>
  <w:num w:numId="56" w16cid:durableId="754981377">
    <w:abstractNumId w:val="5"/>
  </w:num>
  <w:num w:numId="57" w16cid:durableId="679239782">
    <w:abstractNumId w:val="77"/>
  </w:num>
  <w:num w:numId="58" w16cid:durableId="248082010">
    <w:abstractNumId w:val="81"/>
  </w:num>
  <w:num w:numId="59" w16cid:durableId="866409727">
    <w:abstractNumId w:val="60"/>
  </w:num>
  <w:num w:numId="60" w16cid:durableId="1187016318">
    <w:abstractNumId w:val="13"/>
  </w:num>
  <w:num w:numId="61" w16cid:durableId="1623684393">
    <w:abstractNumId w:val="68"/>
  </w:num>
  <w:num w:numId="62" w16cid:durableId="85924656">
    <w:abstractNumId w:val="51"/>
  </w:num>
  <w:num w:numId="63" w16cid:durableId="538471172">
    <w:abstractNumId w:val="39"/>
  </w:num>
  <w:num w:numId="64" w16cid:durableId="151530210">
    <w:abstractNumId w:val="59"/>
  </w:num>
  <w:num w:numId="65" w16cid:durableId="2084714500">
    <w:abstractNumId w:val="47"/>
  </w:num>
  <w:num w:numId="66" w16cid:durableId="946356189">
    <w:abstractNumId w:val="44"/>
  </w:num>
  <w:num w:numId="67" w16cid:durableId="2092727575">
    <w:abstractNumId w:val="27"/>
  </w:num>
  <w:num w:numId="68" w16cid:durableId="891305176">
    <w:abstractNumId w:val="20"/>
  </w:num>
  <w:num w:numId="69" w16cid:durableId="1302154413">
    <w:abstractNumId w:val="24"/>
  </w:num>
  <w:num w:numId="70" w16cid:durableId="600839149">
    <w:abstractNumId w:val="40"/>
  </w:num>
  <w:num w:numId="71" w16cid:durableId="44061859">
    <w:abstractNumId w:val="79"/>
  </w:num>
  <w:num w:numId="72" w16cid:durableId="649480815">
    <w:abstractNumId w:val="85"/>
  </w:num>
  <w:num w:numId="73" w16cid:durableId="1498426422">
    <w:abstractNumId w:val="73"/>
  </w:num>
  <w:num w:numId="74" w16cid:durableId="93667887">
    <w:abstractNumId w:val="75"/>
  </w:num>
  <w:num w:numId="75" w16cid:durableId="1877540918">
    <w:abstractNumId w:val="50"/>
  </w:num>
  <w:num w:numId="76" w16cid:durableId="1035887237">
    <w:abstractNumId w:val="80"/>
  </w:num>
  <w:num w:numId="77" w16cid:durableId="1399523239">
    <w:abstractNumId w:val="26"/>
  </w:num>
  <w:num w:numId="78" w16cid:durableId="112753868">
    <w:abstractNumId w:val="36"/>
  </w:num>
  <w:num w:numId="79" w16cid:durableId="1269577533">
    <w:abstractNumId w:val="1"/>
  </w:num>
  <w:num w:numId="80" w16cid:durableId="1972590595">
    <w:abstractNumId w:val="91"/>
  </w:num>
  <w:num w:numId="81" w16cid:durableId="2010862328">
    <w:abstractNumId w:val="41"/>
  </w:num>
  <w:num w:numId="82" w16cid:durableId="1074547965">
    <w:abstractNumId w:val="56"/>
  </w:num>
  <w:num w:numId="83" w16cid:durableId="701590424">
    <w:abstractNumId w:val="88"/>
  </w:num>
  <w:num w:numId="84" w16cid:durableId="462968608">
    <w:abstractNumId w:val="37"/>
  </w:num>
  <w:num w:numId="85" w16cid:durableId="1164467032">
    <w:abstractNumId w:val="19"/>
  </w:num>
  <w:num w:numId="86" w16cid:durableId="1616130540">
    <w:abstractNumId w:val="90"/>
  </w:num>
  <w:num w:numId="87" w16cid:durableId="1991976722">
    <w:abstractNumId w:val="21"/>
  </w:num>
  <w:num w:numId="88" w16cid:durableId="397439923">
    <w:abstractNumId w:val="6"/>
  </w:num>
  <w:num w:numId="89" w16cid:durableId="10374403">
    <w:abstractNumId w:val="67"/>
  </w:num>
  <w:num w:numId="90" w16cid:durableId="951861810">
    <w:abstractNumId w:val="4"/>
  </w:num>
  <w:num w:numId="91" w16cid:durableId="605961028">
    <w:abstractNumId w:val="34"/>
  </w:num>
  <w:num w:numId="92" w16cid:durableId="879636031">
    <w:abstractNumId w:val="7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3B77"/>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6A0D"/>
    <w:rsid w:val="000E1F59"/>
    <w:rsid w:val="000E2142"/>
    <w:rsid w:val="000E2604"/>
    <w:rsid w:val="000E2BE5"/>
    <w:rsid w:val="000E41AE"/>
    <w:rsid w:val="000E482A"/>
    <w:rsid w:val="000E5388"/>
    <w:rsid w:val="000E58CA"/>
    <w:rsid w:val="000E5956"/>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601C"/>
    <w:rsid w:val="0015640D"/>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259B"/>
    <w:rsid w:val="001D27EF"/>
    <w:rsid w:val="001D2DD2"/>
    <w:rsid w:val="001D3BF9"/>
    <w:rsid w:val="001D4724"/>
    <w:rsid w:val="001D58A3"/>
    <w:rsid w:val="001D70DA"/>
    <w:rsid w:val="001D775A"/>
    <w:rsid w:val="001D7E73"/>
    <w:rsid w:val="001E1088"/>
    <w:rsid w:val="001E1ED5"/>
    <w:rsid w:val="001E4FF4"/>
    <w:rsid w:val="001E55A8"/>
    <w:rsid w:val="001E585A"/>
    <w:rsid w:val="001E592E"/>
    <w:rsid w:val="001E686C"/>
    <w:rsid w:val="001E7CD9"/>
    <w:rsid w:val="001F022F"/>
    <w:rsid w:val="001F0666"/>
    <w:rsid w:val="001F1C10"/>
    <w:rsid w:val="001F38F6"/>
    <w:rsid w:val="001F4E99"/>
    <w:rsid w:val="001F4EBB"/>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58C0"/>
    <w:rsid w:val="003C6DB5"/>
    <w:rsid w:val="003C6E62"/>
    <w:rsid w:val="003D062C"/>
    <w:rsid w:val="003D226B"/>
    <w:rsid w:val="003D4741"/>
    <w:rsid w:val="003D54BB"/>
    <w:rsid w:val="003D57A9"/>
    <w:rsid w:val="003D67FB"/>
    <w:rsid w:val="003D69D5"/>
    <w:rsid w:val="003D7DC4"/>
    <w:rsid w:val="003E0006"/>
    <w:rsid w:val="003E07AE"/>
    <w:rsid w:val="003E1402"/>
    <w:rsid w:val="003E2284"/>
    <w:rsid w:val="003E407D"/>
    <w:rsid w:val="003E562D"/>
    <w:rsid w:val="003E5B3B"/>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779"/>
    <w:rsid w:val="00414B26"/>
    <w:rsid w:val="00416B19"/>
    <w:rsid w:val="00421C92"/>
    <w:rsid w:val="004220FD"/>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676B1"/>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15A"/>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27A"/>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4640"/>
    <w:rsid w:val="005B46F4"/>
    <w:rsid w:val="005B49B4"/>
    <w:rsid w:val="005B5603"/>
    <w:rsid w:val="005B5CB7"/>
    <w:rsid w:val="005B6080"/>
    <w:rsid w:val="005B6E46"/>
    <w:rsid w:val="005C0478"/>
    <w:rsid w:val="005C06A4"/>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7927"/>
    <w:rsid w:val="005F3037"/>
    <w:rsid w:val="005F3FD3"/>
    <w:rsid w:val="005F48F4"/>
    <w:rsid w:val="005F6762"/>
    <w:rsid w:val="005F6C55"/>
    <w:rsid w:val="005F7C3B"/>
    <w:rsid w:val="00601743"/>
    <w:rsid w:val="00601B6A"/>
    <w:rsid w:val="0060298F"/>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3637"/>
    <w:rsid w:val="006A5721"/>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2952"/>
    <w:rsid w:val="006C2A95"/>
    <w:rsid w:val="006C567B"/>
    <w:rsid w:val="006C62BC"/>
    <w:rsid w:val="006C71E1"/>
    <w:rsid w:val="006C765E"/>
    <w:rsid w:val="006C7AC0"/>
    <w:rsid w:val="006D049C"/>
    <w:rsid w:val="006D0DB3"/>
    <w:rsid w:val="006D1D03"/>
    <w:rsid w:val="006D2239"/>
    <w:rsid w:val="006D531C"/>
    <w:rsid w:val="006D5D7B"/>
    <w:rsid w:val="006D77D6"/>
    <w:rsid w:val="006D7F58"/>
    <w:rsid w:val="006E0C82"/>
    <w:rsid w:val="006E111A"/>
    <w:rsid w:val="006E157F"/>
    <w:rsid w:val="006E191C"/>
    <w:rsid w:val="006E1A31"/>
    <w:rsid w:val="006E3168"/>
    <w:rsid w:val="006E36DD"/>
    <w:rsid w:val="006E374C"/>
    <w:rsid w:val="006E47E8"/>
    <w:rsid w:val="006E4E04"/>
    <w:rsid w:val="006E6A26"/>
    <w:rsid w:val="006E766B"/>
    <w:rsid w:val="006F008A"/>
    <w:rsid w:val="006F01F7"/>
    <w:rsid w:val="006F0517"/>
    <w:rsid w:val="006F2335"/>
    <w:rsid w:val="006F315E"/>
    <w:rsid w:val="006F385D"/>
    <w:rsid w:val="006F454A"/>
    <w:rsid w:val="006F4C8E"/>
    <w:rsid w:val="006F5AD4"/>
    <w:rsid w:val="006F69A6"/>
    <w:rsid w:val="006F6BD5"/>
    <w:rsid w:val="006F6CFC"/>
    <w:rsid w:val="006F77DE"/>
    <w:rsid w:val="007023EC"/>
    <w:rsid w:val="00702E01"/>
    <w:rsid w:val="00703799"/>
    <w:rsid w:val="00703850"/>
    <w:rsid w:val="00704230"/>
    <w:rsid w:val="00705D0A"/>
    <w:rsid w:val="00706A26"/>
    <w:rsid w:val="007076F5"/>
    <w:rsid w:val="00707FEE"/>
    <w:rsid w:val="00711BA6"/>
    <w:rsid w:val="00712493"/>
    <w:rsid w:val="007129BE"/>
    <w:rsid w:val="00712E6F"/>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5FB0"/>
    <w:rsid w:val="0076657A"/>
    <w:rsid w:val="00770D21"/>
    <w:rsid w:val="00771290"/>
    <w:rsid w:val="007733F6"/>
    <w:rsid w:val="007738E6"/>
    <w:rsid w:val="00773C91"/>
    <w:rsid w:val="007748C2"/>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922"/>
    <w:rsid w:val="007959F7"/>
    <w:rsid w:val="00795E25"/>
    <w:rsid w:val="007A0F5F"/>
    <w:rsid w:val="007A17B2"/>
    <w:rsid w:val="007A1F6E"/>
    <w:rsid w:val="007A3C69"/>
    <w:rsid w:val="007A42BC"/>
    <w:rsid w:val="007A45BB"/>
    <w:rsid w:val="007A512F"/>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5153"/>
    <w:rsid w:val="007C6CA4"/>
    <w:rsid w:val="007C70E1"/>
    <w:rsid w:val="007C73A9"/>
    <w:rsid w:val="007C7D11"/>
    <w:rsid w:val="007D006B"/>
    <w:rsid w:val="007D083A"/>
    <w:rsid w:val="007D0C87"/>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5C22"/>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14F1"/>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2BD"/>
    <w:rsid w:val="00A4747B"/>
    <w:rsid w:val="00A4774F"/>
    <w:rsid w:val="00A47A87"/>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6FDA"/>
    <w:rsid w:val="00A97938"/>
    <w:rsid w:val="00A97E8E"/>
    <w:rsid w:val="00A97EB5"/>
    <w:rsid w:val="00AA0185"/>
    <w:rsid w:val="00AA1FB7"/>
    <w:rsid w:val="00AA1FDE"/>
    <w:rsid w:val="00AA2134"/>
    <w:rsid w:val="00AA2221"/>
    <w:rsid w:val="00AA2929"/>
    <w:rsid w:val="00AA2E90"/>
    <w:rsid w:val="00AA30C4"/>
    <w:rsid w:val="00AA38B7"/>
    <w:rsid w:val="00AA3E93"/>
    <w:rsid w:val="00AA41AC"/>
    <w:rsid w:val="00AA5104"/>
    <w:rsid w:val="00AA562B"/>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719"/>
    <w:rsid w:val="00AC3DB5"/>
    <w:rsid w:val="00AC4850"/>
    <w:rsid w:val="00AC5851"/>
    <w:rsid w:val="00AC641B"/>
    <w:rsid w:val="00AC71B9"/>
    <w:rsid w:val="00AC76D5"/>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0C"/>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B0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2D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2739"/>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11A"/>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39A"/>
    <w:rsid w:val="00CF7712"/>
    <w:rsid w:val="00CF7A57"/>
    <w:rsid w:val="00CF7FBD"/>
    <w:rsid w:val="00D00B22"/>
    <w:rsid w:val="00D00FB8"/>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153"/>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B27"/>
    <w:rsid w:val="00DA2144"/>
    <w:rsid w:val="00DA216A"/>
    <w:rsid w:val="00DA2328"/>
    <w:rsid w:val="00DA2947"/>
    <w:rsid w:val="00DA2998"/>
    <w:rsid w:val="00DA2A58"/>
    <w:rsid w:val="00DA4678"/>
    <w:rsid w:val="00DA4B36"/>
    <w:rsid w:val="00DA4E94"/>
    <w:rsid w:val="00DA5FDC"/>
    <w:rsid w:val="00DA6856"/>
    <w:rsid w:val="00DA6AE5"/>
    <w:rsid w:val="00DA7965"/>
    <w:rsid w:val="00DB02F4"/>
    <w:rsid w:val="00DB293B"/>
    <w:rsid w:val="00DB3D65"/>
    <w:rsid w:val="00DB4FC6"/>
    <w:rsid w:val="00DB5A22"/>
    <w:rsid w:val="00DB5F06"/>
    <w:rsid w:val="00DB5FDF"/>
    <w:rsid w:val="00DB7C62"/>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29F6"/>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4E8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F33"/>
    <w:rsid w:val="00E366A1"/>
    <w:rsid w:val="00E36875"/>
    <w:rsid w:val="00E37D99"/>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72F"/>
    <w:rsid w:val="00F31029"/>
    <w:rsid w:val="00F31280"/>
    <w:rsid w:val="00F32362"/>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6565"/>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C22"/>
    <w:rPr>
      <w:rFonts w:ascii="Open Sans" w:hAnsi="Open Sans"/>
      <w:sz w:val="24"/>
      <w:lang w:val="en-US"/>
    </w:rPr>
  </w:style>
  <w:style w:type="paragraph" w:styleId="Heading1">
    <w:name w:val="heading 1"/>
    <w:basedOn w:val="Normal"/>
    <w:next w:val="Normal"/>
    <w:link w:val="Heading1Char"/>
    <w:autoRedefine/>
    <w:uiPriority w:val="9"/>
    <w:qFormat/>
    <w:rsid w:val="00D04521"/>
    <w:pPr>
      <w:keepNext/>
      <w:keepLines/>
      <w:spacing w:after="0"/>
      <w:outlineLvl w:val="0"/>
    </w:pPr>
    <w:rPr>
      <w:rFonts w:eastAsiaTheme="majorEastAsia" w:cstheme="majorBidi"/>
      <w:b/>
      <w:color w:val="003399"/>
      <w:sz w:val="26"/>
      <w:szCs w:val="26"/>
    </w:rPr>
  </w:style>
  <w:style w:type="paragraph" w:styleId="Heading2">
    <w:name w:val="heading 2"/>
    <w:basedOn w:val="Normal"/>
    <w:next w:val="Normal"/>
    <w:link w:val="Heading2Char"/>
    <w:autoRedefine/>
    <w:uiPriority w:val="9"/>
    <w:unhideWhenUsed/>
    <w:qFormat/>
    <w:rsid w:val="0002551F"/>
    <w:pPr>
      <w:widowControl w:val="0"/>
      <w:tabs>
        <w:tab w:val="left" w:pos="1047"/>
      </w:tabs>
      <w:autoSpaceDE w:val="0"/>
      <w:autoSpaceDN w:val="0"/>
      <w:spacing w:before="120" w:afterLines="60" w:after="144" w:line="276" w:lineRule="auto"/>
      <w:outlineLvl w:val="1"/>
    </w:pPr>
    <w:rPr>
      <w:rFonts w:ascii="Open Sans SemiBold" w:eastAsia="Open Sans SemiBold" w:hAnsi="Open Sans SemiBold" w:cs="Open Sans SemiBold"/>
      <w:b/>
      <w:color w:val="003399"/>
      <w:szCs w:val="24"/>
    </w:rPr>
  </w:style>
  <w:style w:type="paragraph" w:styleId="Heading3">
    <w:name w:val="heading 3"/>
    <w:basedOn w:val="Normal"/>
    <w:next w:val="Normal"/>
    <w:link w:val="Heading3Char"/>
    <w:autoRedefine/>
    <w:uiPriority w:val="9"/>
    <w:unhideWhenUsed/>
    <w:qFormat/>
    <w:rsid w:val="00805C22"/>
    <w:pPr>
      <w:keepNext/>
      <w:keepLines/>
      <w:spacing w:beforeLines="60" w:before="144" w:afterLines="60" w:after="144" w:line="276" w:lineRule="auto"/>
      <w:outlineLvl w:val="2"/>
    </w:pPr>
    <w:rPr>
      <w:rFonts w:eastAsia="Open Sans SemiBold" w:cs="Open Sans"/>
      <w:bCs/>
      <w:color w:val="003399"/>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521"/>
    <w:rPr>
      <w:rFonts w:ascii="Open Sans" w:eastAsiaTheme="majorEastAsia" w:hAnsi="Open Sans" w:cstheme="majorBidi"/>
      <w:b/>
      <w:color w:val="003399"/>
      <w:sz w:val="26"/>
      <w:szCs w:val="26"/>
      <w:lang w:val="en-US"/>
    </w:rPr>
  </w:style>
  <w:style w:type="character" w:customStyle="1" w:styleId="Heading2Char">
    <w:name w:val="Heading 2 Char"/>
    <w:basedOn w:val="DefaultParagraphFont"/>
    <w:link w:val="Heading2"/>
    <w:uiPriority w:val="9"/>
    <w:rsid w:val="0002551F"/>
    <w:rPr>
      <w:rFonts w:ascii="Open Sans SemiBold" w:eastAsia="Open Sans SemiBold" w:hAnsi="Open Sans SemiBold" w:cs="Open Sans SemiBold"/>
      <w:b/>
      <w:color w:val="003399"/>
      <w:sz w:val="24"/>
      <w:szCs w:val="24"/>
      <w:lang w:val="en-US"/>
    </w:rPr>
  </w:style>
  <w:style w:type="character" w:customStyle="1" w:styleId="Heading3Char">
    <w:name w:val="Heading 3 Char"/>
    <w:basedOn w:val="DefaultParagraphFont"/>
    <w:link w:val="Heading3"/>
    <w:uiPriority w:val="9"/>
    <w:rsid w:val="00805C22"/>
    <w:rPr>
      <w:rFonts w:ascii="Open Sans" w:eastAsia="Open Sans SemiBold" w:hAnsi="Open Sans" w:cs="Open Sans"/>
      <w:bCs/>
      <w:color w:val="003399"/>
      <w:sz w:val="24"/>
      <w:szCs w:val="24"/>
      <w:lang w:val="en-US"/>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343378"/>
    <w:pPr>
      <w:tabs>
        <w:tab w:val="right" w:leader="dot" w:pos="9062"/>
      </w:tabs>
      <w:spacing w:after="100"/>
    </w:pPr>
    <w:rPr>
      <w:rFonts w:cs="Open Sans"/>
      <w:noProof/>
    </w:r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17"/>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link w:val="ListParagraph"/>
    <w:uiPriority w:val="99"/>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rsid w:val="00806176"/>
    <w:pPr>
      <w:suppressAutoHyphens/>
      <w:spacing w:before="120" w:after="120" w:line="240" w:lineRule="auto"/>
    </w:pPr>
    <w:rPr>
      <w:rFonts w:ascii="Calibri" w:eastAsia="Times New Roman" w:hAnsi="Calibri" w:cs="Times New Roman"/>
      <w:color w:val="595959"/>
      <w:sz w:val="19"/>
      <w:szCs w:val="24"/>
      <w:lang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7"/>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8B7734"/>
    <w:pPr>
      <w:spacing w:before="100" w:beforeAutospacing="1" w:after="100" w:afterAutospacing="1" w:line="240" w:lineRule="auto"/>
    </w:pPr>
    <w:rPr>
      <w:rFonts w:ascii="Calibri" w:hAnsi="Calibri" w:cs="Calibri"/>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805C22"/>
    <w:pPr>
      <w:spacing w:after="0" w:line="240" w:lineRule="auto"/>
      <w:ind w:right="1365"/>
      <w:contextualSpacing/>
      <w:jc w:val="right"/>
    </w:pPr>
    <w:rPr>
      <w:rFonts w:eastAsiaTheme="majorEastAsia" w:cs="Open Sans"/>
      <w:b/>
      <w:color w:val="003399"/>
      <w:sz w:val="52"/>
      <w:szCs w:val="52"/>
    </w:rPr>
  </w:style>
  <w:style w:type="character" w:customStyle="1" w:styleId="TitleChar">
    <w:name w:val="Title Char"/>
    <w:basedOn w:val="DefaultParagraphFont"/>
    <w:link w:val="Title"/>
    <w:uiPriority w:val="10"/>
    <w:rsid w:val="00805C22"/>
    <w:rPr>
      <w:rFonts w:ascii="Open Sans" w:eastAsiaTheme="majorEastAsia" w:hAnsi="Open Sans" w:cs="Open Sans"/>
      <w:b/>
      <w:color w:val="003399"/>
      <w:sz w:val="52"/>
      <w:szCs w:val="52"/>
      <w:lang w:val="en-US"/>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rPr>
  </w:style>
  <w:style w:type="paragraph" w:styleId="Subtitle">
    <w:name w:val="Subtitle"/>
    <w:basedOn w:val="Normal"/>
    <w:next w:val="Normal"/>
    <w:link w:val="SubtitleChar"/>
    <w:uiPriority w:val="11"/>
    <w:qFormat/>
    <w:rsid w:val="00805C22"/>
    <w:pPr>
      <w:spacing w:before="249" w:line="574" w:lineRule="exact"/>
      <w:ind w:left="967" w:right="1365"/>
      <w:jc w:val="right"/>
    </w:pPr>
    <w:rPr>
      <w:rFonts w:eastAsiaTheme="majorEastAsia" w:cs="Open Sans"/>
      <w:b/>
      <w:color w:val="003399"/>
      <w:sz w:val="36"/>
      <w:szCs w:val="36"/>
    </w:rPr>
  </w:style>
  <w:style w:type="character" w:customStyle="1" w:styleId="SubtitleChar">
    <w:name w:val="Subtitle Char"/>
    <w:basedOn w:val="DefaultParagraphFont"/>
    <w:link w:val="Subtitle"/>
    <w:uiPriority w:val="11"/>
    <w:rsid w:val="00805C22"/>
    <w:rPr>
      <w:rFonts w:ascii="Open Sans" w:eastAsiaTheme="majorEastAsia" w:hAnsi="Open Sans" w:cs="Open Sans"/>
      <w:b/>
      <w:color w:val="003399"/>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outhbaltic.eu/what-is-interreg-south-baltic-programme-2021-2027" TargetMode="External"/><Relationship Id="rId18" Type="http://schemas.openxmlformats.org/officeDocument/2006/relationships/hyperlink" Target="https://southbaltic.eu/what-is-interreg-south-baltic-programme-2021-2027" TargetMode="External"/><Relationship Id="rId26" Type="http://schemas.openxmlformats.org/officeDocument/2006/relationships/hyperlink" Target="https://southbaltic.eu/what-is-interreg-south-baltic-programme-2021-2027" TargetMode="External"/><Relationship Id="rId39" Type="http://schemas.openxmlformats.org/officeDocument/2006/relationships/hyperlink" Target="https://southbaltic.eu/what-is-interreg-south-baltic-programme-2021-2027" TargetMode="External"/><Relationship Id="rId21" Type="http://schemas.openxmlformats.org/officeDocument/2006/relationships/hyperlink" Target="https://southbaltic.eu/documents/18165/513661/2022-10-04_Interreg+South+Baltic+Programme+2021-2027_approved+by+the+EC.pdf.pdf/315a9297-9a06-481e-9412-7f37bbd1b0b8" TargetMode="External"/><Relationship Id="rId34" Type="http://schemas.openxmlformats.org/officeDocument/2006/relationships/hyperlink" Target="https://southbaltic.eu/what-is-interreg-south-baltic-programme-2021-2027" TargetMode="External"/><Relationship Id="rId42" Type="http://schemas.openxmlformats.org/officeDocument/2006/relationships/hyperlink" Target="https://southbaltic.eu/what-is-interreg-south-baltic-programme-2021-2027" TargetMode="External"/><Relationship Id="rId47" Type="http://schemas.openxmlformats.org/officeDocument/2006/relationships/hyperlink" Target="https://commission.europa.eu/funding-tenders/procedures-guidelines-tenders/information-contractors-and-beneficiaries/exchange-rate-inforeuro_en" TargetMode="External"/><Relationship Id="rId50" Type="http://schemas.openxmlformats.org/officeDocument/2006/relationships/hyperlink" Target="https://southbaltic.eu/what-is-interreg-south-baltic-programme-2021-2027" TargetMode="External"/><Relationship Id="rId55" Type="http://schemas.openxmlformats.org/officeDocument/2006/relationships/hyperlink" Target="http://www.wpk.d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alticsea-region-strategy.eu/" TargetMode="External"/><Relationship Id="rId29" Type="http://schemas.openxmlformats.org/officeDocument/2006/relationships/hyperlink" Target="http://ec.europa.eu/regional_policy/en/policy/how/improving-investment/public-procurement/guide/" TargetMode="External"/><Relationship Id="rId11" Type="http://schemas.openxmlformats.org/officeDocument/2006/relationships/hyperlink" Target="https://southbaltic.eu/documents/18165/513661/2022-10-04_Interreg+South+Baltic+Programme+2021-2027_approved+by+the+EC.pdf.pdf/315a9297-9a06-481e-9412-7f37bbd1b0b8" TargetMode="External"/><Relationship Id="rId24" Type="http://schemas.openxmlformats.org/officeDocument/2006/relationships/hyperlink" Target="https://southbaltic.eu/documents/18165/513661/2022-10-04_Interreg+South+Baltic+Programme+2021-2027_approved+by+the+EC.pdf.pdf/315a9297-9a06-481e-9412-7f37bbd1b0b8" TargetMode="External"/><Relationship Id="rId32" Type="http://schemas.openxmlformats.org/officeDocument/2006/relationships/hyperlink" Target="https://southbaltic.eu/what-is-interreg-south-baltic-programme-2021-2027" TargetMode="External"/><Relationship Id="rId37" Type="http://schemas.openxmlformats.org/officeDocument/2006/relationships/hyperlink" Target="https://southbaltic.eu/what-is-interreg-south-baltic-programme-2021-2027" TargetMode="External"/><Relationship Id="rId40" Type="http://schemas.openxmlformats.org/officeDocument/2006/relationships/hyperlink" Target="https://www.eusbsr.eu" TargetMode="External"/><Relationship Id="rId45" Type="http://schemas.openxmlformats.org/officeDocument/2006/relationships/hyperlink" Target="https://southbaltic.eu/what-is-interreg-south-baltic-programme-2021-2027" TargetMode="External"/><Relationship Id="rId53" Type="http://schemas.openxmlformats.org/officeDocument/2006/relationships/hyperlink" Target="https://southbaltic.eu/what-is-interreg-south-baltic-programme-2021-2027" TargetMode="External"/><Relationship Id="rId58" Type="http://schemas.openxmlformats.org/officeDocument/2006/relationships/hyperlink" Target="https://southbaltic.eu/what-is-interreg-south-baltic-programme-2021-2027" TargetMode="Externa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hyperlink" Target="https://southbaltic.eu/documents/18165/513661/2022-10-04_Interreg+South+Baltic+Programme+2021-2027_approved+by+the+EC.pdf.pdf/315a9297-9a06-481e-9412-7f37bbd1b0b8" TargetMode="External"/><Relationship Id="rId14" Type="http://schemas.openxmlformats.org/officeDocument/2006/relationships/image" Target="media/image6.jpeg"/><Relationship Id="rId22" Type="http://schemas.openxmlformats.org/officeDocument/2006/relationships/image" Target="media/image7.png"/><Relationship Id="rId27" Type="http://schemas.openxmlformats.org/officeDocument/2006/relationships/hyperlink" Target="https://southbaltic.eu/what-is-interreg-south-baltic-programme-2021-2027" TargetMode="External"/><Relationship Id="rId30" Type="http://schemas.openxmlformats.org/officeDocument/2006/relationships/hyperlink" Target="https://southbaltic.eu/what-is-interreg-south-baltic-programme-2021-2027" TargetMode="External"/><Relationship Id="rId35" Type="http://schemas.openxmlformats.org/officeDocument/2006/relationships/image" Target="media/image8.png"/><Relationship Id="rId43" Type="http://schemas.openxmlformats.org/officeDocument/2006/relationships/hyperlink" Target="mailto:southbaltic@southbaltic.eu" TargetMode="External"/><Relationship Id="rId48" Type="http://schemas.openxmlformats.org/officeDocument/2006/relationships/hyperlink" Target="https://commission.europa.eu/funding-tenders/procedures-guidelines-tenders/information-contractors-and-beneficiaries/exchange-rate-inforeuro_en" TargetMode="External"/><Relationship Id="rId56" Type="http://schemas.openxmlformats.org/officeDocument/2006/relationships/hyperlink" Target="http://www.wpk.de" TargetMode="External"/><Relationship Id="rId64" Type="http://schemas.openxmlformats.org/officeDocument/2006/relationships/theme" Target="theme/theme1.xml"/><Relationship Id="rId8" Type="http://schemas.openxmlformats.org/officeDocument/2006/relationships/image" Target="media/image4.png"/><Relationship Id="rId51" Type="http://schemas.openxmlformats.org/officeDocument/2006/relationships/image" Target="media/image10.png"/><Relationship Id="rId3" Type="http://schemas.openxmlformats.org/officeDocument/2006/relationships/styles" Target="styles.xml"/><Relationship Id="rId12" Type="http://schemas.openxmlformats.org/officeDocument/2006/relationships/hyperlink" Target="https://southbaltic.eu/documents/18165/513661/2022-10-04_Interreg+South+Baltic+Programme+2021-2027_approved+by+the+EC.pdf.pdf/315a9297-9a06-481e-9412-7f37bbd1b0b8" TargetMode="External"/><Relationship Id="rId17" Type="http://schemas.openxmlformats.org/officeDocument/2006/relationships/hyperlink" Target="https://southbaltic.eu/documents/18165/513661/2022-10-04_Interreg+South+Baltic+Programme+2021-2027_approved+by+the+EC.pdf.pdf/315a9297-9a06-481e-9412-7f37bbd1b0b8" TargetMode="External"/><Relationship Id="rId25" Type="http://schemas.openxmlformats.org/officeDocument/2006/relationships/hyperlink" Target="https://southbaltic.eu/documents/18165/513661/2022-10-04_Interreg+South+Baltic+Programme+2021-2027_approved+by+the+EC.pdf.pdf/315a9297-9a06-481e-9412-7f37bbd1b0b8" TargetMode="External"/><Relationship Id="rId33" Type="http://schemas.openxmlformats.org/officeDocument/2006/relationships/hyperlink" Target="https://southbaltic.eu/what-is-interreg-south-baltic-programme-2021-2027" TargetMode="External"/><Relationship Id="rId38" Type="http://schemas.openxmlformats.org/officeDocument/2006/relationships/hyperlink" Target="https://southbaltic.eu/what-is-interreg-south-baltic-programme-2021-2027" TargetMode="External"/><Relationship Id="rId46" Type="http://schemas.openxmlformats.org/officeDocument/2006/relationships/hyperlink" Target="https://southbaltic.eu/what-is-interreg-south-baltic-programme-2021-2027" TargetMode="External"/><Relationship Id="rId59" Type="http://schemas.openxmlformats.org/officeDocument/2006/relationships/hyperlink" Target="https://southbaltic.eu/what-is-interreg-south-baltic-programme-2021-2027" TargetMode="External"/><Relationship Id="rId20" Type="http://schemas.openxmlformats.org/officeDocument/2006/relationships/hyperlink" Target="https://southbaltic.eu/what-is-interreg-south-baltic-programme-2021-2027" TargetMode="External"/><Relationship Id="rId41" Type="http://schemas.openxmlformats.org/officeDocument/2006/relationships/hyperlink" Target="https://www.eusbsr.eu" TargetMode="External"/><Relationship Id="rId54" Type="http://schemas.openxmlformats.org/officeDocument/2006/relationships/hyperlink" Target="https://southbaltic.eu/what-is-interreg-south-baltic-programme-2021-2027"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outhbaltic.eu/documents/18165/513661/2022-10-04_Interreg+South+Baltic+Programme+2021-2027_approved+by+the+EC.pdf.pdf/315a9297-9a06-481e-9412-7f37bbd1b0b8" TargetMode="External"/><Relationship Id="rId23" Type="http://schemas.openxmlformats.org/officeDocument/2006/relationships/hyperlink" Target="file:///\\dc01.jts.local\fileserver\ISBP%202021-2027\Programme%20Manual\3.6%20Associated%20partners" TargetMode="External"/><Relationship Id="rId28" Type="http://schemas.openxmlformats.org/officeDocument/2006/relationships/hyperlink" Target="https://southbaltic.eu/what-is-interreg-south-baltic-programme-2021-2027" TargetMode="External"/><Relationship Id="rId36" Type="http://schemas.openxmlformats.org/officeDocument/2006/relationships/hyperlink" Target="https://southbaltic.eu/what-is-interreg-south-baltic-programme-2021-2027" TargetMode="External"/><Relationship Id="rId49" Type="http://schemas.openxmlformats.org/officeDocument/2006/relationships/image" Target="media/image9.jpeg"/><Relationship Id="rId57" Type="http://schemas.openxmlformats.org/officeDocument/2006/relationships/hyperlink" Target="https://southbaltic.eu/what-is-interreg-south-baltic-programme-2021-2027" TargetMode="External"/><Relationship Id="rId10" Type="http://schemas.openxmlformats.org/officeDocument/2006/relationships/hyperlink" Target="https://southbaltic.eu/documents/18165/513661/2022-10-04_Interreg+South+Baltic+Programme+2021-2027_approved+by+the+EC.pdf.pdf/315a9297-9a06-481e-9412-7f37bbd1b0b8" TargetMode="External"/><Relationship Id="rId31" Type="http://schemas.openxmlformats.org/officeDocument/2006/relationships/hyperlink" Target="https://southbaltic.eu/what-is-interreg-south-baltic-programme-2021-2027" TargetMode="External"/><Relationship Id="rId44" Type="http://schemas.openxmlformats.org/officeDocument/2006/relationships/hyperlink" Target="https://southbaltic.eu/what-is-interreg-south-baltic-programme-2021-2027" TargetMode="External"/><Relationship Id="rId52" Type="http://schemas.openxmlformats.org/officeDocument/2006/relationships/image" Target="media/image11.png"/><Relationship Id="rId60" Type="http://schemas.openxmlformats.org/officeDocument/2006/relationships/hyperlink" Target="https://southbaltic.eu/what-is-interreg-south-baltic-programme-2021-2027" TargetMode="External"/><Relationship Id="rId4" Type="http://schemas.openxmlformats.org/officeDocument/2006/relationships/settings" Target="settings.xml"/><Relationship Id="rId9" Type="http://schemas.openxmlformats.org/officeDocument/2006/relationships/image" Target="media/image5.jpeg"/></Relationships>
</file>

<file path=word/_rels/footnotes.xml.rels><?xml version="1.0" encoding="UTF-8" standalone="yes"?>
<Relationships xmlns="http://schemas.openxmlformats.org/package/2006/relationships"><Relationship Id="rId2" Type="http://schemas.openxmlformats.org/officeDocument/2006/relationships/hyperlink" Target="https://southbaltic.eu/what-is-interreg-south-baltic-programme-2021-2027" TargetMode="External"/><Relationship Id="rId1" Type="http://schemas.openxmlformats.org/officeDocument/2006/relationships/hyperlink" Target="https://southbaltic.eu/what-is-interreg-south-baltic-programme-2021-2027"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201</Pages>
  <Words>40381</Words>
  <Characters>230173</Characters>
  <Application>Microsoft Office Word</Application>
  <DocSecurity>0</DocSecurity>
  <Lines>1918</Lines>
  <Paragraphs>540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270014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Manual</dc:title>
  <dc:subject/>
  <dc:creator>Adamczyk Magdalena</dc:creator>
  <cp:keywords/>
  <dc:description/>
  <cp:lastModifiedBy>Svetlana Korniushina</cp:lastModifiedBy>
  <cp:revision>8</cp:revision>
  <cp:lastPrinted>2023-10-09T10:19:00Z</cp:lastPrinted>
  <dcterms:created xsi:type="dcterms:W3CDTF">2023-10-04T13:35:00Z</dcterms:created>
  <dcterms:modified xsi:type="dcterms:W3CDTF">2023-10-09T10:19:00Z</dcterms:modified>
</cp:coreProperties>
</file>